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82" w:rsidRDefault="00375E13" w:rsidP="0077785E">
      <w:pPr>
        <w:jc w:val="center"/>
      </w:pPr>
      <w:bookmarkStart w:id="0" w:name="_GoBack"/>
      <w:bookmarkEnd w:id="0"/>
      <w:proofErr w:type="gramStart"/>
      <w:r>
        <w:t xml:space="preserve">Barbara L. Brown, Ph.D., </w:t>
      </w:r>
      <w:proofErr w:type="spellStart"/>
      <w:r>
        <w:t>Psy.D</w:t>
      </w:r>
      <w:proofErr w:type="spellEnd"/>
      <w:r>
        <w:t>.</w:t>
      </w:r>
      <w:proofErr w:type="gramEnd"/>
    </w:p>
    <w:p w:rsidR="00375E13" w:rsidRDefault="00375E13" w:rsidP="0077785E">
      <w:pPr>
        <w:jc w:val="center"/>
      </w:pPr>
      <w:r>
        <w:t>Assistant Vice Chancellor for Transitional and General Education</w:t>
      </w:r>
    </w:p>
    <w:p w:rsidR="0077785E" w:rsidRDefault="0077785E" w:rsidP="0077785E">
      <w:pPr>
        <w:jc w:val="center"/>
      </w:pPr>
      <w:r w:rsidRPr="00504023">
        <w:rPr>
          <w:rFonts w:eastAsia="MS PGothic" w:cs="Arial"/>
          <w:kern w:val="24"/>
        </w:rPr>
        <w:t>Office of Educational Access &amp; Success</w:t>
      </w:r>
    </w:p>
    <w:p w:rsidR="00375E13" w:rsidRDefault="00CE07F8" w:rsidP="0077785E">
      <w:pPr>
        <w:jc w:val="center"/>
      </w:pPr>
      <w:hyperlink r:id="rId9" w:history="1">
        <w:r w:rsidR="00375E13" w:rsidRPr="007D2619">
          <w:rPr>
            <w:rStyle w:val="Hyperlink"/>
          </w:rPr>
          <w:t>Barbara.Brown@usg.edu</w:t>
        </w:r>
      </w:hyperlink>
    </w:p>
    <w:p w:rsidR="00375E13" w:rsidRDefault="00375E13" w:rsidP="0077785E">
      <w:pPr>
        <w:jc w:val="center"/>
      </w:pPr>
      <w:r>
        <w:t>404-962-3107</w:t>
      </w:r>
    </w:p>
    <w:p w:rsidR="00375E13" w:rsidRDefault="00375E13"/>
    <w:p w:rsidR="00375E13" w:rsidRDefault="000E690E">
      <w:r>
        <w:t>4</w:t>
      </w:r>
      <w:r w:rsidR="00375E13">
        <w:t xml:space="preserve"> areas of focus related to Complete College Georgia</w:t>
      </w:r>
      <w:r w:rsidR="008A4A17">
        <w:t>:</w:t>
      </w:r>
    </w:p>
    <w:p w:rsidR="00375E13" w:rsidRDefault="00375E13" w:rsidP="00375E13">
      <w:pPr>
        <w:ind w:left="720"/>
      </w:pPr>
      <w:r>
        <w:t>Transforming Remediation</w:t>
      </w:r>
    </w:p>
    <w:p w:rsidR="00375E13" w:rsidRDefault="00375E13" w:rsidP="00375E13">
      <w:pPr>
        <w:ind w:left="720"/>
      </w:pPr>
      <w:r>
        <w:t>15 to Finish</w:t>
      </w:r>
    </w:p>
    <w:p w:rsidR="00464C98" w:rsidRDefault="00464C98" w:rsidP="00375E13">
      <w:pPr>
        <w:ind w:left="720"/>
      </w:pPr>
      <w:r>
        <w:t>Guided Pathways to Success</w:t>
      </w:r>
    </w:p>
    <w:p w:rsidR="00375E13" w:rsidRDefault="00375E13" w:rsidP="00375E13">
      <w:pPr>
        <w:ind w:left="720"/>
      </w:pPr>
      <w:r>
        <w:t>Reverse Transfer</w:t>
      </w:r>
    </w:p>
    <w:p w:rsidR="00375E13" w:rsidRDefault="00375E13" w:rsidP="00375E13"/>
    <w:p w:rsidR="00276EF8" w:rsidRDefault="00375E13" w:rsidP="00375E13">
      <w:r w:rsidRPr="000300C8">
        <w:rPr>
          <w:b/>
          <w:sz w:val="28"/>
          <w:szCs w:val="28"/>
        </w:rPr>
        <w:t>Transforming Remediation</w:t>
      </w:r>
      <w:r>
        <w:t xml:space="preserve"> </w:t>
      </w:r>
    </w:p>
    <w:p w:rsidR="00276EF8" w:rsidRDefault="00276EF8" w:rsidP="00375E13"/>
    <w:p w:rsidR="00276EF8" w:rsidRDefault="00276EF8" w:rsidP="00375E13">
      <w:r>
        <w:t xml:space="preserve">In </w:t>
      </w:r>
      <w:proofErr w:type="gramStart"/>
      <w:r>
        <w:t>Fall</w:t>
      </w:r>
      <w:proofErr w:type="gramEnd"/>
      <w:r>
        <w:t xml:space="preserve"> 2013</w:t>
      </w:r>
    </w:p>
    <w:p w:rsidR="00276EF8" w:rsidRDefault="00276EF8" w:rsidP="00375E13">
      <w:pPr>
        <w:pStyle w:val="ListParagraph"/>
        <w:numPr>
          <w:ilvl w:val="0"/>
          <w:numId w:val="8"/>
        </w:numPr>
      </w:pPr>
      <w:r>
        <w:t>Eliminated system requirement for Compass Exit Testing</w:t>
      </w:r>
    </w:p>
    <w:p w:rsidR="00276EF8" w:rsidRDefault="00276EF8" w:rsidP="00375E13">
      <w:pPr>
        <w:pStyle w:val="ListParagraph"/>
        <w:numPr>
          <w:ilvl w:val="0"/>
          <w:numId w:val="8"/>
        </w:numPr>
      </w:pPr>
      <w:r>
        <w:t>“</w:t>
      </w:r>
      <w:r w:rsidRPr="00276EF8">
        <w:t xml:space="preserve">All USG institutions are encouraged to provide Learning Support for students as </w:t>
      </w:r>
      <w:proofErr w:type="spellStart"/>
      <w:r w:rsidRPr="00276EF8">
        <w:t>corequisites</w:t>
      </w:r>
      <w:proofErr w:type="spellEnd"/>
      <w:r w:rsidRPr="00276EF8">
        <w:t xml:space="preserve"> to college level courses. Such courses must be designed to provide instruction to supplement the specific core curriculum courses.</w:t>
      </w:r>
      <w:r>
        <w:t>”  Co-requisite remediation as the default strategy for the majority of students.</w:t>
      </w:r>
    </w:p>
    <w:p w:rsidR="00276EF8" w:rsidRDefault="00276EF8" w:rsidP="00375E13">
      <w:pPr>
        <w:pStyle w:val="ListParagraph"/>
        <w:numPr>
          <w:ilvl w:val="0"/>
          <w:numId w:val="8"/>
        </w:numPr>
      </w:pPr>
      <w:r>
        <w:t>Ad hoc committees worked to construct implementation strategies for recommendations of the Task Forces to Transform Remediation.</w:t>
      </w:r>
      <w:r w:rsidRPr="00276EF8">
        <w:t xml:space="preserve"> </w:t>
      </w:r>
    </w:p>
    <w:p w:rsidR="00276EF8" w:rsidRDefault="00CA77DA" w:rsidP="00375E13">
      <w:pPr>
        <w:pStyle w:val="ListParagraph"/>
        <w:numPr>
          <w:ilvl w:val="0"/>
          <w:numId w:val="8"/>
        </w:numPr>
      </w:pPr>
      <w:r>
        <w:t>Not changed:  “</w:t>
      </w:r>
      <w:r w:rsidRPr="00CA77DA">
        <w:t>All remedial and LS courses should carry course numbers of 99 or below. These courses should not form a part of a baccalaureate program. Any credit which may be given for these courses should not be used in fulfilling the requirements for a baccalaureate degree.”</w:t>
      </w:r>
    </w:p>
    <w:p w:rsidR="00CA77DA" w:rsidRDefault="00CA77DA" w:rsidP="00CA77DA">
      <w:r>
        <w:t>Spring 2014</w:t>
      </w:r>
    </w:p>
    <w:p w:rsidR="00CA77DA" w:rsidRDefault="00CA77DA" w:rsidP="00CA77DA">
      <w:pPr>
        <w:pStyle w:val="ListParagraph"/>
        <w:numPr>
          <w:ilvl w:val="0"/>
          <w:numId w:val="9"/>
        </w:numPr>
        <w:ind w:left="720"/>
      </w:pPr>
      <w:r>
        <w:t xml:space="preserve">Solicit feedback from institutions at regional </w:t>
      </w:r>
      <w:r w:rsidR="005922A7">
        <w:t>workshops</w:t>
      </w:r>
      <w:r>
        <w:t>.</w:t>
      </w:r>
    </w:p>
    <w:p w:rsidR="00CA77DA" w:rsidRDefault="00CA77DA" w:rsidP="00CA77DA">
      <w:pPr>
        <w:pStyle w:val="ListParagraph"/>
        <w:numPr>
          <w:ilvl w:val="0"/>
          <w:numId w:val="9"/>
        </w:numPr>
        <w:ind w:left="720"/>
      </w:pPr>
      <w:r>
        <w:t xml:space="preserve">Plan for April system-wide </w:t>
      </w:r>
      <w:r w:rsidR="005922A7">
        <w:t>symposium</w:t>
      </w:r>
      <w:r>
        <w:t xml:space="preserve"> on remediation.</w:t>
      </w:r>
    </w:p>
    <w:p w:rsidR="00CA77DA" w:rsidRDefault="00CA77DA" w:rsidP="00CA77DA">
      <w:pPr>
        <w:pStyle w:val="ListParagraph"/>
        <w:numPr>
          <w:ilvl w:val="0"/>
          <w:numId w:val="9"/>
        </w:numPr>
        <w:ind w:left="720"/>
      </w:pPr>
      <w:r>
        <w:t xml:space="preserve">Some institutions will be “at scale” on using </w:t>
      </w:r>
      <w:proofErr w:type="spellStart"/>
      <w:r>
        <w:t>corequisite</w:t>
      </w:r>
      <w:proofErr w:type="spellEnd"/>
      <w:r>
        <w:t xml:space="preserve"> strategies for remediation in </w:t>
      </w:r>
      <w:proofErr w:type="gramStart"/>
      <w:r>
        <w:t>Fall</w:t>
      </w:r>
      <w:proofErr w:type="gramEnd"/>
      <w:r>
        <w:t xml:space="preserve"> 2014.  This is purely voluntary.</w:t>
      </w:r>
    </w:p>
    <w:p w:rsidR="00CA77DA" w:rsidRDefault="00CA77DA" w:rsidP="00CA77DA">
      <w:pPr>
        <w:pStyle w:val="ListParagraph"/>
        <w:numPr>
          <w:ilvl w:val="0"/>
          <w:numId w:val="9"/>
        </w:numPr>
        <w:ind w:left="720"/>
      </w:pPr>
      <w:r>
        <w:t xml:space="preserve">The majority of system institutions will be expected to be “at scale” using </w:t>
      </w:r>
      <w:proofErr w:type="spellStart"/>
      <w:r>
        <w:t>corequisite</w:t>
      </w:r>
      <w:proofErr w:type="spellEnd"/>
      <w:r>
        <w:t xml:space="preserve"> strategies for remediation by </w:t>
      </w:r>
      <w:proofErr w:type="gramStart"/>
      <w:r w:rsidRPr="00A82D60">
        <w:rPr>
          <w:b/>
        </w:rPr>
        <w:t>Fall</w:t>
      </w:r>
      <w:proofErr w:type="gramEnd"/>
      <w:r w:rsidRPr="00A82D60">
        <w:rPr>
          <w:b/>
        </w:rPr>
        <w:t xml:space="preserve"> 2015</w:t>
      </w:r>
      <w:r>
        <w:t>.</w:t>
      </w:r>
    </w:p>
    <w:p w:rsidR="000300C8" w:rsidRDefault="000300C8" w:rsidP="00375E13"/>
    <w:p w:rsidR="0077785E" w:rsidRDefault="0077785E">
      <w:pPr>
        <w:rPr>
          <w:b/>
          <w:sz w:val="28"/>
          <w:szCs w:val="28"/>
        </w:rPr>
      </w:pPr>
    </w:p>
    <w:p w:rsidR="00375E13" w:rsidRPr="000300C8" w:rsidRDefault="00375E13" w:rsidP="00375E13">
      <w:pPr>
        <w:rPr>
          <w:b/>
          <w:sz w:val="28"/>
          <w:szCs w:val="28"/>
        </w:rPr>
      </w:pPr>
      <w:r w:rsidRPr="000300C8">
        <w:rPr>
          <w:b/>
          <w:sz w:val="28"/>
          <w:szCs w:val="28"/>
        </w:rPr>
        <w:t>15 to Finish</w:t>
      </w:r>
    </w:p>
    <w:p w:rsidR="009A452A" w:rsidRDefault="009A452A" w:rsidP="00375E13"/>
    <w:p w:rsidR="002961E0" w:rsidRDefault="002961E0" w:rsidP="002961E0">
      <w:r>
        <w:t xml:space="preserve">Changing </w:t>
      </w:r>
      <w:r w:rsidR="005922A7">
        <w:t>norm to full-time = 15 credits (</w:t>
      </w:r>
      <w:r>
        <w:t>not 12</w:t>
      </w:r>
      <w:r w:rsidR="005922A7">
        <w:t>)</w:t>
      </w:r>
    </w:p>
    <w:p w:rsidR="002961E0" w:rsidRDefault="002961E0" w:rsidP="002961E0">
      <w:r>
        <w:t>Promoting on-time graduation (2</w:t>
      </w:r>
      <w:r w:rsidR="005922A7">
        <w:t xml:space="preserve"> year associate and 4 year bachelor’s</w:t>
      </w:r>
      <w:r>
        <w:t>)</w:t>
      </w:r>
    </w:p>
    <w:p w:rsidR="002961E0" w:rsidRDefault="002961E0" w:rsidP="002961E0">
      <w:r>
        <w:t>Key message:  Enroll in 15 credits per semester to graduate on time.</w:t>
      </w:r>
    </w:p>
    <w:p w:rsidR="002961E0" w:rsidRDefault="002961E0" w:rsidP="002961E0"/>
    <w:p w:rsidR="002961E0" w:rsidRDefault="002961E0" w:rsidP="002961E0">
      <w:proofErr w:type="gramStart"/>
      <w:r>
        <w:t>Georgia Perimeter Co</w:t>
      </w:r>
      <w:r w:rsidR="005922A7">
        <w:t>llege acting as lead</w:t>
      </w:r>
      <w:r>
        <w:t xml:space="preserve"> institution for 15 to Finish</w:t>
      </w:r>
      <w:r w:rsidR="00150629">
        <w:t>.</w:t>
      </w:r>
      <w:proofErr w:type="gramEnd"/>
      <w:r w:rsidR="00150629">
        <w:t xml:space="preserve"> </w:t>
      </w:r>
    </w:p>
    <w:p w:rsidR="00150629" w:rsidRDefault="00150629" w:rsidP="002961E0">
      <w:r>
        <w:t xml:space="preserve">Website:  </w:t>
      </w:r>
      <w:hyperlink r:id="rId10" w:history="1">
        <w:r w:rsidR="005922A7" w:rsidRPr="00BF3306">
          <w:rPr>
            <w:rStyle w:val="Hyperlink"/>
          </w:rPr>
          <w:t>www.15tofinishgeorgia.com</w:t>
        </w:r>
      </w:hyperlink>
      <w:r w:rsidR="005922A7">
        <w:t xml:space="preserve"> </w:t>
      </w:r>
    </w:p>
    <w:p w:rsidR="002961E0" w:rsidRDefault="002961E0" w:rsidP="002961E0"/>
    <w:p w:rsidR="002961E0" w:rsidRDefault="002961E0" w:rsidP="002961E0">
      <w:r>
        <w:t>Things you can do:</w:t>
      </w:r>
    </w:p>
    <w:p w:rsidR="000300C8" w:rsidRDefault="000300C8" w:rsidP="00A82D60">
      <w:pPr>
        <w:ind w:left="360"/>
      </w:pPr>
      <w:r>
        <w:t>Establish 15 credit hours per semester as the “new norm” for full-time.</w:t>
      </w:r>
    </w:p>
    <w:p w:rsidR="00150629" w:rsidRDefault="002961E0" w:rsidP="00A82D60">
      <w:pPr>
        <w:ind w:left="360"/>
      </w:pPr>
      <w:r>
        <w:t>Train advisors to encourage</w:t>
      </w:r>
      <w:r w:rsidR="00E84CF4">
        <w:t xml:space="preserve"> students to take 15 credits per semester</w:t>
      </w:r>
      <w:r>
        <w:t xml:space="preserve"> wherever possible.</w:t>
      </w:r>
    </w:p>
    <w:p w:rsidR="00150629" w:rsidRDefault="00150629" w:rsidP="00A82D60">
      <w:pPr>
        <w:ind w:left="720" w:hanging="360"/>
      </w:pPr>
      <w:r>
        <w:t>Send GPC (</w:t>
      </w:r>
      <w:hyperlink r:id="rId11" w:history="1">
        <w:r w:rsidRPr="00BF3306">
          <w:rPr>
            <w:rStyle w:val="Hyperlink"/>
          </w:rPr>
          <w:t>15tofinishgeorgia@gmail.com</w:t>
        </w:r>
      </w:hyperlink>
      <w:r>
        <w:t xml:space="preserve">) a URL so they can link to your 15 to </w:t>
      </w:r>
      <w:proofErr w:type="gramStart"/>
      <w:r>
        <w:t>Finish</w:t>
      </w:r>
      <w:proofErr w:type="gramEnd"/>
      <w:r>
        <w:t xml:space="preserve"> materials from the system-wide 15 to Finish website. </w:t>
      </w:r>
    </w:p>
    <w:p w:rsidR="00150629" w:rsidRDefault="00150629" w:rsidP="00A82D60">
      <w:pPr>
        <w:ind w:left="720" w:hanging="360"/>
      </w:pPr>
      <w:r>
        <w:t xml:space="preserve">Encourage </w:t>
      </w:r>
      <w:r w:rsidR="005922A7">
        <w:t>faculty, staff, and administrators</w:t>
      </w:r>
      <w:r>
        <w:t xml:space="preserve"> from your campus to attend upcoming regional and system-wide meetings on 15 to Finish</w:t>
      </w:r>
      <w:r w:rsidR="005922A7">
        <w:t>.</w:t>
      </w:r>
    </w:p>
    <w:p w:rsidR="00150629" w:rsidRDefault="00150629" w:rsidP="00150629">
      <w:pPr>
        <w:ind w:left="360" w:hanging="360"/>
      </w:pPr>
    </w:p>
    <w:p w:rsidR="00150629" w:rsidRDefault="00150629" w:rsidP="00150629">
      <w:pPr>
        <w:ind w:left="360" w:hanging="360"/>
      </w:pPr>
    </w:p>
    <w:p w:rsidR="00150629" w:rsidRDefault="00150629" w:rsidP="002961E0">
      <w:pPr>
        <w:rPr>
          <w:b/>
          <w:sz w:val="28"/>
          <w:szCs w:val="28"/>
        </w:rPr>
      </w:pPr>
      <w:r>
        <w:rPr>
          <w:b/>
          <w:sz w:val="28"/>
          <w:szCs w:val="28"/>
        </w:rPr>
        <w:t>Guided Pathways to Success</w:t>
      </w:r>
    </w:p>
    <w:p w:rsidR="007A5498" w:rsidRDefault="00CE07F8" w:rsidP="002961E0">
      <w:pPr>
        <w:rPr>
          <w:b/>
          <w:sz w:val="28"/>
          <w:szCs w:val="28"/>
        </w:rPr>
      </w:pPr>
      <w:hyperlink r:id="rId12" w:history="1">
        <w:r w:rsidR="005922A7" w:rsidRPr="00BF3306">
          <w:rPr>
            <w:rStyle w:val="Hyperlink"/>
          </w:rPr>
          <w:t>http://www.completecollege.org/docs/GPS%20BOOKLET%2006-14%20FINAL.pdf</w:t>
        </w:r>
      </w:hyperlink>
      <w:r w:rsidR="005922A7">
        <w:t xml:space="preserve"> </w:t>
      </w:r>
    </w:p>
    <w:p w:rsidR="00150629" w:rsidRDefault="00150629" w:rsidP="002961E0"/>
    <w:p w:rsidR="00150629" w:rsidRDefault="002961E0" w:rsidP="00150629">
      <w:r>
        <w:t xml:space="preserve">Develop 2- </w:t>
      </w:r>
      <w:r w:rsidR="007634C8">
        <w:t>and 4-year on-time program maps</w:t>
      </w:r>
      <w:r>
        <w:t xml:space="preserve"> with milestones.  Samples:</w:t>
      </w:r>
    </w:p>
    <w:p w:rsidR="0088710F" w:rsidRDefault="0088710F" w:rsidP="0088710F">
      <w:pPr>
        <w:ind w:left="360"/>
      </w:pPr>
      <w:r>
        <w:t xml:space="preserve">University of Hawaii at </w:t>
      </w:r>
      <w:proofErr w:type="spellStart"/>
      <w:r>
        <w:t>Manoa</w:t>
      </w:r>
      <w:proofErr w:type="spellEnd"/>
      <w:r>
        <w:t xml:space="preserve"> - </w:t>
      </w:r>
      <w:hyperlink r:id="rId13" w:anchor="artsci" w:history="1">
        <w:r w:rsidRPr="00527437">
          <w:rPr>
            <w:rStyle w:val="Hyperlink"/>
          </w:rPr>
          <w:t>http://manoa.hawaii.edu/ovcaa/programsheets/#artsci</w:t>
        </w:r>
      </w:hyperlink>
    </w:p>
    <w:p w:rsidR="0088710F" w:rsidRDefault="0088710F" w:rsidP="0088710F">
      <w:pPr>
        <w:ind w:left="720" w:hanging="360"/>
      </w:pPr>
      <w:r>
        <w:t xml:space="preserve">Georgia Perimeter College - </w:t>
      </w:r>
      <w:hyperlink r:id="rId14" w:history="1">
        <w:r w:rsidR="007A5498">
          <w:rPr>
            <w:rStyle w:val="Hyperlink"/>
          </w:rPr>
          <w:t>http://www.gpc.edu/programs/programmaps</w:t>
        </w:r>
      </w:hyperlink>
    </w:p>
    <w:p w:rsidR="0088710F" w:rsidRDefault="0088710F" w:rsidP="0088710F">
      <w:pPr>
        <w:ind w:left="720" w:hanging="360"/>
      </w:pPr>
      <w:r>
        <w:t xml:space="preserve">Georgia State University – </w:t>
      </w:r>
      <w:hyperlink r:id="rId15" w:history="1">
        <w:r w:rsidRPr="007D2619">
          <w:rPr>
            <w:rStyle w:val="Hyperlink"/>
          </w:rPr>
          <w:t>http://catalog.gsu.edu/undergraduate20132014/course_curriculum/b-s-in-criminal-justice-legal-issues-track/</w:t>
        </w:r>
      </w:hyperlink>
    </w:p>
    <w:p w:rsidR="000300C8" w:rsidRDefault="0088710F" w:rsidP="0088710F">
      <w:pPr>
        <w:ind w:left="360"/>
      </w:pPr>
      <w:r>
        <w:t xml:space="preserve">South Georgia College - </w:t>
      </w:r>
      <w:hyperlink r:id="rId16" w:history="1">
        <w:r w:rsidRPr="007D2619">
          <w:rPr>
            <w:rStyle w:val="Hyperlink"/>
          </w:rPr>
          <w:t>http://www.sgc.edu/academics/plans.html</w:t>
        </w:r>
      </w:hyperlink>
      <w:r>
        <w:t xml:space="preserve"> </w:t>
      </w:r>
    </w:p>
    <w:p w:rsidR="00646900" w:rsidRDefault="00646900" w:rsidP="00646900">
      <w:pPr>
        <w:rPr>
          <w:rFonts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990"/>
        <w:gridCol w:w="270"/>
        <w:gridCol w:w="3600"/>
        <w:gridCol w:w="1008"/>
      </w:tblGrid>
      <w:tr w:rsidR="00646900" w:rsidTr="00726BA6">
        <w:tc>
          <w:tcPr>
            <w:tcW w:w="9576" w:type="dxa"/>
            <w:gridSpan w:val="5"/>
          </w:tcPr>
          <w:p w:rsidR="00646900" w:rsidRPr="00704DE5" w:rsidRDefault="00646900" w:rsidP="00726BA6">
            <w:pPr>
              <w:rPr>
                <w:rFonts w:cs="Arial"/>
                <w:b/>
              </w:rPr>
            </w:pPr>
            <w:r w:rsidRPr="00704DE5">
              <w:rPr>
                <w:rFonts w:cs="Arial"/>
                <w:b/>
              </w:rPr>
              <w:t>Degree Pathway for [Program of Study]</w:t>
            </w:r>
          </w:p>
        </w:tc>
      </w:tr>
      <w:tr w:rsidR="00646900" w:rsidTr="00726BA6">
        <w:tc>
          <w:tcPr>
            <w:tcW w:w="9576" w:type="dxa"/>
            <w:gridSpan w:val="5"/>
          </w:tcPr>
          <w:p w:rsidR="00646900" w:rsidRPr="00704DE5" w:rsidRDefault="00646900" w:rsidP="00726BA6">
            <w:pPr>
              <w:rPr>
                <w:rFonts w:cs="Arial"/>
                <w:b/>
              </w:rPr>
            </w:pPr>
            <w:r w:rsidRPr="00704DE5">
              <w:rPr>
                <w:rFonts w:cs="Arial"/>
                <w:b/>
              </w:rPr>
              <w:t>Year 1</w:t>
            </w:r>
          </w:p>
        </w:tc>
      </w:tr>
      <w:tr w:rsidR="00646900" w:rsidTr="00726BA6">
        <w:tc>
          <w:tcPr>
            <w:tcW w:w="4698" w:type="dxa"/>
            <w:gridSpan w:val="2"/>
          </w:tcPr>
          <w:p w:rsidR="00646900" w:rsidRPr="00704DE5" w:rsidRDefault="00646900" w:rsidP="00726BA6">
            <w:pPr>
              <w:rPr>
                <w:rFonts w:cs="Arial"/>
                <w:b/>
              </w:rPr>
            </w:pPr>
            <w:r w:rsidRPr="00704DE5">
              <w:rPr>
                <w:rFonts w:cs="Arial"/>
                <w:b/>
              </w:rPr>
              <w:t>Term 1</w:t>
            </w:r>
          </w:p>
        </w:tc>
        <w:tc>
          <w:tcPr>
            <w:tcW w:w="270" w:type="dxa"/>
            <w:vMerge w:val="restart"/>
          </w:tcPr>
          <w:p w:rsidR="00646900" w:rsidRPr="00704DE5" w:rsidRDefault="00646900" w:rsidP="00726BA6">
            <w:pPr>
              <w:rPr>
                <w:rFonts w:cs="Arial"/>
                <w:b/>
              </w:rPr>
            </w:pPr>
          </w:p>
        </w:tc>
        <w:tc>
          <w:tcPr>
            <w:tcW w:w="4608" w:type="dxa"/>
            <w:gridSpan w:val="2"/>
          </w:tcPr>
          <w:p w:rsidR="00646900" w:rsidRPr="00704DE5" w:rsidRDefault="00646900" w:rsidP="00726BA6">
            <w:pPr>
              <w:rPr>
                <w:rFonts w:cs="Arial"/>
                <w:b/>
              </w:rPr>
            </w:pPr>
            <w:r w:rsidRPr="00704DE5">
              <w:rPr>
                <w:rFonts w:cs="Arial"/>
                <w:b/>
              </w:rPr>
              <w:t>Term 2</w:t>
            </w:r>
          </w:p>
        </w:tc>
      </w:tr>
      <w:tr w:rsidR="00646900" w:rsidTr="00726BA6">
        <w:tc>
          <w:tcPr>
            <w:tcW w:w="3708" w:type="dxa"/>
            <w:shd w:val="clear" w:color="auto" w:fill="F2F2F2" w:themeFill="background1" w:themeFillShade="F2"/>
          </w:tcPr>
          <w:p w:rsidR="00646900" w:rsidRPr="00704DE5" w:rsidRDefault="00646900" w:rsidP="00726BA6">
            <w:pPr>
              <w:rPr>
                <w:rFonts w:cs="Arial"/>
                <w:b/>
              </w:rPr>
            </w:pPr>
            <w:r w:rsidRPr="00704DE5">
              <w:rPr>
                <w:rFonts w:cs="Arial"/>
                <w:b/>
              </w:rPr>
              <w:t>Course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646900" w:rsidRPr="00704DE5" w:rsidRDefault="00646900" w:rsidP="00726BA6">
            <w:pPr>
              <w:rPr>
                <w:rFonts w:cs="Arial"/>
                <w:b/>
              </w:rPr>
            </w:pPr>
            <w:r w:rsidRPr="00704DE5">
              <w:rPr>
                <w:rFonts w:cs="Arial"/>
                <w:b/>
              </w:rPr>
              <w:t>Credits</w:t>
            </w: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:rsidR="00646900" w:rsidRPr="00704DE5" w:rsidRDefault="00646900" w:rsidP="00726BA6">
            <w:pPr>
              <w:rPr>
                <w:rFonts w:cs="Arial"/>
                <w:b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:rsidR="00646900" w:rsidRPr="00704DE5" w:rsidRDefault="00646900" w:rsidP="00726BA6">
            <w:pPr>
              <w:rPr>
                <w:rFonts w:cs="Arial"/>
                <w:b/>
              </w:rPr>
            </w:pPr>
            <w:r w:rsidRPr="00704DE5">
              <w:rPr>
                <w:rFonts w:cs="Arial"/>
                <w:b/>
              </w:rPr>
              <w:t>Course</w:t>
            </w:r>
          </w:p>
        </w:tc>
        <w:tc>
          <w:tcPr>
            <w:tcW w:w="1008" w:type="dxa"/>
            <w:shd w:val="clear" w:color="auto" w:fill="F2F2F2" w:themeFill="background1" w:themeFillShade="F2"/>
          </w:tcPr>
          <w:p w:rsidR="00646900" w:rsidRPr="00704DE5" w:rsidRDefault="00646900" w:rsidP="00726BA6">
            <w:pPr>
              <w:rPr>
                <w:rFonts w:cs="Arial"/>
                <w:b/>
              </w:rPr>
            </w:pPr>
            <w:r w:rsidRPr="00704DE5">
              <w:rPr>
                <w:rFonts w:cs="Arial"/>
                <w:b/>
              </w:rPr>
              <w:t>Credits</w:t>
            </w:r>
          </w:p>
        </w:tc>
      </w:tr>
      <w:tr w:rsidR="00646900" w:rsidTr="00726BA6">
        <w:tc>
          <w:tcPr>
            <w:tcW w:w="3708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ENGL 1101 (or institutional A1 course)</w:t>
            </w:r>
          </w:p>
        </w:tc>
        <w:tc>
          <w:tcPr>
            <w:tcW w:w="990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70" w:type="dxa"/>
            <w:vMerge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ENGL 1102 (or institutional A1 course)</w:t>
            </w:r>
          </w:p>
        </w:tc>
        <w:tc>
          <w:tcPr>
            <w:tcW w:w="1008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46900" w:rsidTr="00726BA6">
        <w:tc>
          <w:tcPr>
            <w:tcW w:w="3708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Recommended A2 math course [Specify MATH 1001, 1101, 1111 or other math.]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70" w:type="dxa"/>
            <w:vMerge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Area D math course or other Area D course that is not one of the two required lab science courses (if required)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46900" w:rsidTr="00726BA6">
        <w:tc>
          <w:tcPr>
            <w:tcW w:w="3708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Area F elective</w:t>
            </w:r>
          </w:p>
        </w:tc>
        <w:tc>
          <w:tcPr>
            <w:tcW w:w="990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70" w:type="dxa"/>
            <w:vMerge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Area F elective</w:t>
            </w:r>
          </w:p>
        </w:tc>
        <w:tc>
          <w:tcPr>
            <w:tcW w:w="1008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46900" w:rsidTr="00726BA6">
        <w:tc>
          <w:tcPr>
            <w:tcW w:w="3708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Lab Science 1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70" w:type="dxa"/>
            <w:vMerge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Lab Science 2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646900" w:rsidTr="00726BA6">
        <w:tc>
          <w:tcPr>
            <w:tcW w:w="3708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Area B, C, D or E elective (2 credit option, if available)</w:t>
            </w:r>
          </w:p>
        </w:tc>
        <w:tc>
          <w:tcPr>
            <w:tcW w:w="990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2 - 3</w:t>
            </w:r>
          </w:p>
        </w:tc>
        <w:tc>
          <w:tcPr>
            <w:tcW w:w="270" w:type="dxa"/>
            <w:vMerge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Area B, C, D, or E elective (2 credit option, if available)</w:t>
            </w:r>
          </w:p>
        </w:tc>
        <w:tc>
          <w:tcPr>
            <w:tcW w:w="1008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2 - 3</w:t>
            </w:r>
          </w:p>
        </w:tc>
      </w:tr>
      <w:tr w:rsidR="00646900" w:rsidTr="00726BA6">
        <w:tc>
          <w:tcPr>
            <w:tcW w:w="3708" w:type="dxa"/>
            <w:shd w:val="clear" w:color="auto" w:fill="DBE5F1" w:themeFill="accent1" w:themeFillTint="33"/>
          </w:tcPr>
          <w:p w:rsidR="00646900" w:rsidRDefault="00646900" w:rsidP="00726BA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Semester Total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15 – 16</w:t>
            </w:r>
          </w:p>
        </w:tc>
        <w:tc>
          <w:tcPr>
            <w:tcW w:w="270" w:type="dxa"/>
            <w:vMerge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DBE5F1" w:themeFill="accent1" w:themeFillTint="33"/>
          </w:tcPr>
          <w:p w:rsidR="00646900" w:rsidRDefault="00646900" w:rsidP="00726BA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Semester Total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15 – 16</w:t>
            </w:r>
          </w:p>
        </w:tc>
      </w:tr>
      <w:tr w:rsidR="00646900" w:rsidTr="00726BA6">
        <w:tc>
          <w:tcPr>
            <w:tcW w:w="9576" w:type="dxa"/>
            <w:gridSpan w:val="5"/>
          </w:tcPr>
          <w:p w:rsidR="00646900" w:rsidRDefault="00646900" w:rsidP="00726BA6">
            <w:pPr>
              <w:rPr>
                <w:rFonts w:cs="Arial"/>
              </w:rPr>
            </w:pPr>
          </w:p>
        </w:tc>
      </w:tr>
      <w:tr w:rsidR="00646900" w:rsidTr="00726BA6">
        <w:tc>
          <w:tcPr>
            <w:tcW w:w="4698" w:type="dxa"/>
            <w:gridSpan w:val="2"/>
          </w:tcPr>
          <w:p w:rsidR="00646900" w:rsidRDefault="00646900" w:rsidP="00726BA6">
            <w:pPr>
              <w:rPr>
                <w:rFonts w:cs="Arial"/>
              </w:rPr>
            </w:pPr>
            <w:r w:rsidRPr="00577F6E">
              <w:rPr>
                <w:rFonts w:cs="Arial"/>
                <w:b/>
              </w:rPr>
              <w:t>Milestones</w:t>
            </w:r>
          </w:p>
        </w:tc>
        <w:tc>
          <w:tcPr>
            <w:tcW w:w="270" w:type="dxa"/>
            <w:vMerge w:val="restart"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4608" w:type="dxa"/>
            <w:gridSpan w:val="2"/>
          </w:tcPr>
          <w:p w:rsidR="00646900" w:rsidRDefault="00646900" w:rsidP="00726BA6">
            <w:pPr>
              <w:rPr>
                <w:rFonts w:cs="Arial"/>
              </w:rPr>
            </w:pPr>
            <w:r w:rsidRPr="00577F6E">
              <w:rPr>
                <w:rFonts w:cs="Arial"/>
                <w:b/>
              </w:rPr>
              <w:t>Milestones</w:t>
            </w:r>
          </w:p>
        </w:tc>
      </w:tr>
      <w:tr w:rsidR="00646900" w:rsidTr="00726BA6">
        <w:trPr>
          <w:trHeight w:val="803"/>
        </w:trPr>
        <w:tc>
          <w:tcPr>
            <w:tcW w:w="4698" w:type="dxa"/>
            <w:gridSpan w:val="2"/>
          </w:tcPr>
          <w:p w:rsidR="00646900" w:rsidRPr="007C1B28" w:rsidRDefault="00646900" w:rsidP="0064690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Arial"/>
              </w:rPr>
            </w:pPr>
            <w:r w:rsidRPr="007C1B28">
              <w:rPr>
                <w:rFonts w:cs="Arial"/>
              </w:rPr>
              <w:t>Complete 1 Area A1 course</w:t>
            </w:r>
          </w:p>
          <w:p w:rsidR="00646900" w:rsidRPr="007C1B28" w:rsidRDefault="00646900" w:rsidP="0064690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Arial"/>
              </w:rPr>
            </w:pPr>
            <w:r w:rsidRPr="007C1B28">
              <w:rPr>
                <w:rFonts w:cs="Arial"/>
              </w:rPr>
              <w:t>Complete Area A2 math</w:t>
            </w:r>
          </w:p>
        </w:tc>
        <w:tc>
          <w:tcPr>
            <w:tcW w:w="270" w:type="dxa"/>
            <w:vMerge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4608" w:type="dxa"/>
            <w:gridSpan w:val="2"/>
          </w:tcPr>
          <w:p w:rsidR="00646900" w:rsidRPr="007C1B28" w:rsidRDefault="00646900" w:rsidP="00646900">
            <w:pPr>
              <w:pStyle w:val="ListParagraph"/>
              <w:numPr>
                <w:ilvl w:val="0"/>
                <w:numId w:val="10"/>
              </w:numPr>
              <w:ind w:left="432"/>
              <w:rPr>
                <w:rFonts w:cs="Arial"/>
              </w:rPr>
            </w:pPr>
            <w:r w:rsidRPr="007C1B28">
              <w:rPr>
                <w:rFonts w:cs="Arial"/>
              </w:rPr>
              <w:t>Complete all Area A requirements</w:t>
            </w:r>
          </w:p>
          <w:p w:rsidR="00646900" w:rsidRPr="007C1B28" w:rsidRDefault="00646900" w:rsidP="00646900">
            <w:pPr>
              <w:pStyle w:val="ListParagraph"/>
              <w:numPr>
                <w:ilvl w:val="0"/>
                <w:numId w:val="10"/>
              </w:numPr>
              <w:ind w:left="432"/>
              <w:rPr>
                <w:rFonts w:cs="Arial"/>
              </w:rPr>
            </w:pPr>
            <w:r w:rsidRPr="007C1B28">
              <w:rPr>
                <w:rFonts w:cs="Arial"/>
              </w:rPr>
              <w:t>Declare major</w:t>
            </w:r>
          </w:p>
          <w:p w:rsidR="00646900" w:rsidRDefault="00646900" w:rsidP="00646900">
            <w:pPr>
              <w:pStyle w:val="ListParagraph"/>
              <w:numPr>
                <w:ilvl w:val="0"/>
                <w:numId w:val="10"/>
              </w:numPr>
              <w:ind w:left="432"/>
              <w:rPr>
                <w:rFonts w:cs="Arial"/>
              </w:rPr>
            </w:pPr>
            <w:r w:rsidRPr="007C1B28">
              <w:rPr>
                <w:rFonts w:cs="Arial"/>
              </w:rPr>
              <w:t>Meet with an advisor</w:t>
            </w:r>
          </w:p>
          <w:p w:rsidR="00646900" w:rsidRPr="007C1B28" w:rsidRDefault="00646900" w:rsidP="00646900">
            <w:pPr>
              <w:pStyle w:val="ListParagraph"/>
              <w:numPr>
                <w:ilvl w:val="0"/>
                <w:numId w:val="10"/>
              </w:numPr>
              <w:ind w:left="432"/>
              <w:rPr>
                <w:rFonts w:cs="Arial"/>
              </w:rPr>
            </w:pPr>
            <w:r>
              <w:rPr>
                <w:rFonts w:cs="Arial"/>
              </w:rPr>
              <w:t>Accumulate 30 or more collegiate credits</w:t>
            </w:r>
          </w:p>
        </w:tc>
      </w:tr>
      <w:tr w:rsidR="00646900" w:rsidTr="00726BA6">
        <w:tc>
          <w:tcPr>
            <w:tcW w:w="9576" w:type="dxa"/>
            <w:gridSpan w:val="5"/>
          </w:tcPr>
          <w:p w:rsidR="00646900" w:rsidRDefault="00646900" w:rsidP="00726BA6">
            <w:pPr>
              <w:rPr>
                <w:rFonts w:cs="Arial"/>
              </w:rPr>
            </w:pPr>
          </w:p>
        </w:tc>
      </w:tr>
      <w:tr w:rsidR="00646900" w:rsidTr="00726BA6">
        <w:tc>
          <w:tcPr>
            <w:tcW w:w="9576" w:type="dxa"/>
            <w:gridSpan w:val="5"/>
          </w:tcPr>
          <w:p w:rsidR="00646900" w:rsidRPr="007C1B28" w:rsidRDefault="00646900" w:rsidP="00726BA6">
            <w:pPr>
              <w:rPr>
                <w:rFonts w:cs="Arial"/>
                <w:b/>
              </w:rPr>
            </w:pPr>
            <w:r w:rsidRPr="007C1B28">
              <w:rPr>
                <w:rFonts w:cs="Arial"/>
                <w:b/>
              </w:rPr>
              <w:t>Year 2</w:t>
            </w:r>
          </w:p>
        </w:tc>
      </w:tr>
      <w:tr w:rsidR="00646900" w:rsidTr="00726BA6">
        <w:tc>
          <w:tcPr>
            <w:tcW w:w="3708" w:type="dxa"/>
          </w:tcPr>
          <w:p w:rsidR="00646900" w:rsidRPr="007C1B28" w:rsidRDefault="00646900" w:rsidP="00726BA6">
            <w:pPr>
              <w:pStyle w:val="ListParagraph"/>
              <w:ind w:left="0"/>
              <w:rPr>
                <w:rFonts w:cs="Arial"/>
                <w:b/>
              </w:rPr>
            </w:pPr>
            <w:r w:rsidRPr="007C1B28">
              <w:rPr>
                <w:rFonts w:cs="Arial"/>
                <w:b/>
              </w:rPr>
              <w:t>Term 1</w:t>
            </w:r>
          </w:p>
        </w:tc>
        <w:tc>
          <w:tcPr>
            <w:tcW w:w="990" w:type="dxa"/>
          </w:tcPr>
          <w:p w:rsidR="00646900" w:rsidRPr="007C1B28" w:rsidRDefault="00646900" w:rsidP="00726BA6">
            <w:pPr>
              <w:rPr>
                <w:rFonts w:cs="Arial"/>
                <w:b/>
              </w:rPr>
            </w:pPr>
          </w:p>
        </w:tc>
        <w:tc>
          <w:tcPr>
            <w:tcW w:w="270" w:type="dxa"/>
            <w:vMerge w:val="restart"/>
          </w:tcPr>
          <w:p w:rsidR="00646900" w:rsidRPr="007C1B28" w:rsidRDefault="00646900" w:rsidP="00726BA6">
            <w:pPr>
              <w:rPr>
                <w:rFonts w:cs="Arial"/>
                <w:b/>
              </w:rPr>
            </w:pPr>
          </w:p>
        </w:tc>
        <w:tc>
          <w:tcPr>
            <w:tcW w:w="3600" w:type="dxa"/>
          </w:tcPr>
          <w:p w:rsidR="00646900" w:rsidRPr="007C1B28" w:rsidRDefault="00646900" w:rsidP="00726BA6">
            <w:pPr>
              <w:pStyle w:val="ListParagraph"/>
              <w:ind w:left="0"/>
              <w:rPr>
                <w:rFonts w:cs="Arial"/>
                <w:b/>
              </w:rPr>
            </w:pPr>
            <w:r w:rsidRPr="007C1B28">
              <w:rPr>
                <w:rFonts w:cs="Arial"/>
                <w:b/>
              </w:rPr>
              <w:t>Term 2</w:t>
            </w:r>
          </w:p>
        </w:tc>
        <w:tc>
          <w:tcPr>
            <w:tcW w:w="1008" w:type="dxa"/>
          </w:tcPr>
          <w:p w:rsidR="00646900" w:rsidRDefault="00646900" w:rsidP="00726BA6">
            <w:pPr>
              <w:rPr>
                <w:rFonts w:cs="Arial"/>
              </w:rPr>
            </w:pPr>
          </w:p>
        </w:tc>
      </w:tr>
      <w:tr w:rsidR="00646900" w:rsidTr="00726BA6">
        <w:tc>
          <w:tcPr>
            <w:tcW w:w="3708" w:type="dxa"/>
            <w:shd w:val="clear" w:color="auto" w:fill="F2F2F2" w:themeFill="background1" w:themeFillShade="F2"/>
          </w:tcPr>
          <w:p w:rsidR="00646900" w:rsidRPr="00704DE5" w:rsidRDefault="00646900" w:rsidP="00726BA6">
            <w:pPr>
              <w:rPr>
                <w:rFonts w:cs="Arial"/>
                <w:b/>
              </w:rPr>
            </w:pPr>
            <w:r w:rsidRPr="00704DE5">
              <w:rPr>
                <w:rFonts w:cs="Arial"/>
                <w:b/>
              </w:rPr>
              <w:t>Course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646900" w:rsidRPr="00704DE5" w:rsidRDefault="00646900" w:rsidP="00726BA6">
            <w:pPr>
              <w:rPr>
                <w:rFonts w:cs="Arial"/>
                <w:b/>
              </w:rPr>
            </w:pPr>
            <w:r w:rsidRPr="00704DE5">
              <w:rPr>
                <w:rFonts w:cs="Arial"/>
                <w:b/>
              </w:rPr>
              <w:t>Credits</w:t>
            </w:r>
          </w:p>
        </w:tc>
        <w:tc>
          <w:tcPr>
            <w:tcW w:w="270" w:type="dxa"/>
            <w:vMerge/>
            <w:shd w:val="clear" w:color="auto" w:fill="F2F2F2" w:themeFill="background1" w:themeFillShade="F2"/>
          </w:tcPr>
          <w:p w:rsidR="00646900" w:rsidRPr="00704DE5" w:rsidRDefault="00646900" w:rsidP="00726BA6">
            <w:pPr>
              <w:rPr>
                <w:rFonts w:cs="Arial"/>
                <w:b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:rsidR="00646900" w:rsidRPr="00704DE5" w:rsidRDefault="00646900" w:rsidP="00726BA6">
            <w:pPr>
              <w:rPr>
                <w:rFonts w:cs="Arial"/>
                <w:b/>
              </w:rPr>
            </w:pPr>
            <w:r w:rsidRPr="00704DE5">
              <w:rPr>
                <w:rFonts w:cs="Arial"/>
                <w:b/>
              </w:rPr>
              <w:t>Course</w:t>
            </w:r>
          </w:p>
        </w:tc>
        <w:tc>
          <w:tcPr>
            <w:tcW w:w="1008" w:type="dxa"/>
            <w:shd w:val="clear" w:color="auto" w:fill="F2F2F2" w:themeFill="background1" w:themeFillShade="F2"/>
          </w:tcPr>
          <w:p w:rsidR="00646900" w:rsidRPr="00704DE5" w:rsidRDefault="00646900" w:rsidP="00726BA6">
            <w:pPr>
              <w:rPr>
                <w:rFonts w:cs="Arial"/>
                <w:b/>
              </w:rPr>
            </w:pPr>
            <w:r w:rsidRPr="00704DE5">
              <w:rPr>
                <w:rFonts w:cs="Arial"/>
                <w:b/>
              </w:rPr>
              <w:t>Credits</w:t>
            </w:r>
          </w:p>
        </w:tc>
      </w:tr>
      <w:tr w:rsidR="00646900" w:rsidTr="00726BA6">
        <w:tc>
          <w:tcPr>
            <w:tcW w:w="3708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POLS 1101 (or Area E elective)</w:t>
            </w:r>
          </w:p>
        </w:tc>
        <w:tc>
          <w:tcPr>
            <w:tcW w:w="990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70" w:type="dxa"/>
            <w:vMerge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646900" w:rsidRDefault="00646900" w:rsidP="00726BA6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Area E elective</w:t>
            </w:r>
          </w:p>
        </w:tc>
        <w:tc>
          <w:tcPr>
            <w:tcW w:w="1008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46900" w:rsidTr="00726BA6">
        <w:tc>
          <w:tcPr>
            <w:tcW w:w="3708" w:type="dxa"/>
            <w:shd w:val="clear" w:color="auto" w:fill="DBE5F1" w:themeFill="accent1" w:themeFillTint="33"/>
          </w:tcPr>
          <w:p w:rsidR="00646900" w:rsidRDefault="00646900" w:rsidP="00726BA6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Area B, C, or E elective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70" w:type="dxa"/>
            <w:vMerge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DBE5F1" w:themeFill="accent1" w:themeFillTint="33"/>
          </w:tcPr>
          <w:p w:rsidR="00646900" w:rsidRDefault="00646900" w:rsidP="00726BA6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Area B, C, or E elective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46900" w:rsidTr="00726BA6">
        <w:tc>
          <w:tcPr>
            <w:tcW w:w="3708" w:type="dxa"/>
          </w:tcPr>
          <w:p w:rsidR="00646900" w:rsidRDefault="00646900" w:rsidP="00726BA6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Area B, C, or E elective</w:t>
            </w:r>
          </w:p>
        </w:tc>
        <w:tc>
          <w:tcPr>
            <w:tcW w:w="990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70" w:type="dxa"/>
            <w:vMerge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646900" w:rsidRDefault="00646900" w:rsidP="00726BA6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Area B, C, or E elective</w:t>
            </w:r>
          </w:p>
        </w:tc>
        <w:tc>
          <w:tcPr>
            <w:tcW w:w="1008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46900" w:rsidTr="00726BA6">
        <w:tc>
          <w:tcPr>
            <w:tcW w:w="3708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Area F elective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70" w:type="dxa"/>
            <w:vMerge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Area F elective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46900" w:rsidTr="00726BA6">
        <w:tc>
          <w:tcPr>
            <w:tcW w:w="3708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Area F elective</w:t>
            </w:r>
          </w:p>
        </w:tc>
        <w:tc>
          <w:tcPr>
            <w:tcW w:w="990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70" w:type="dxa"/>
            <w:vMerge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Area F elective</w:t>
            </w:r>
          </w:p>
        </w:tc>
        <w:tc>
          <w:tcPr>
            <w:tcW w:w="1008" w:type="dxa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46900" w:rsidTr="00726BA6">
        <w:tc>
          <w:tcPr>
            <w:tcW w:w="3708" w:type="dxa"/>
            <w:shd w:val="clear" w:color="auto" w:fill="DBE5F1" w:themeFill="accent1" w:themeFillTint="33"/>
          </w:tcPr>
          <w:p w:rsidR="00646900" w:rsidRDefault="00646900" w:rsidP="00726BA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Semester Total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70" w:type="dxa"/>
            <w:vMerge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DBE5F1" w:themeFill="accent1" w:themeFillTint="33"/>
          </w:tcPr>
          <w:p w:rsidR="00646900" w:rsidRDefault="00646900" w:rsidP="00726BA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Semester Total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646900" w:rsidRDefault="00646900" w:rsidP="00726BA6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646900" w:rsidTr="00726BA6">
        <w:tc>
          <w:tcPr>
            <w:tcW w:w="3708" w:type="dxa"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270" w:type="dxa"/>
            <w:vMerge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1008" w:type="dxa"/>
          </w:tcPr>
          <w:p w:rsidR="00646900" w:rsidRDefault="00646900" w:rsidP="00726BA6">
            <w:pPr>
              <w:rPr>
                <w:rFonts w:cs="Arial"/>
              </w:rPr>
            </w:pPr>
          </w:p>
        </w:tc>
      </w:tr>
      <w:tr w:rsidR="00646900" w:rsidTr="00726BA6">
        <w:tc>
          <w:tcPr>
            <w:tcW w:w="4698" w:type="dxa"/>
            <w:gridSpan w:val="2"/>
          </w:tcPr>
          <w:p w:rsidR="00646900" w:rsidRDefault="00646900" w:rsidP="00726BA6">
            <w:pPr>
              <w:rPr>
                <w:rFonts w:cs="Arial"/>
              </w:rPr>
            </w:pPr>
            <w:r w:rsidRPr="00577F6E">
              <w:rPr>
                <w:rFonts w:cs="Arial"/>
                <w:b/>
              </w:rPr>
              <w:t>Milestones</w:t>
            </w:r>
          </w:p>
        </w:tc>
        <w:tc>
          <w:tcPr>
            <w:tcW w:w="270" w:type="dxa"/>
            <w:vMerge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4608" w:type="dxa"/>
            <w:gridSpan w:val="2"/>
          </w:tcPr>
          <w:p w:rsidR="00646900" w:rsidRDefault="00646900" w:rsidP="00726BA6">
            <w:pPr>
              <w:rPr>
                <w:rFonts w:cs="Arial"/>
              </w:rPr>
            </w:pPr>
            <w:r w:rsidRPr="00577F6E">
              <w:rPr>
                <w:rFonts w:cs="Arial"/>
                <w:b/>
              </w:rPr>
              <w:t>Milestones</w:t>
            </w:r>
          </w:p>
        </w:tc>
      </w:tr>
      <w:tr w:rsidR="00646900" w:rsidTr="00726BA6">
        <w:trPr>
          <w:trHeight w:val="1052"/>
        </w:trPr>
        <w:tc>
          <w:tcPr>
            <w:tcW w:w="4698" w:type="dxa"/>
            <w:gridSpan w:val="2"/>
          </w:tcPr>
          <w:p w:rsidR="00646900" w:rsidRPr="001615F6" w:rsidRDefault="00646900" w:rsidP="00646900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cs="Arial"/>
              </w:rPr>
            </w:pPr>
            <w:r>
              <w:rPr>
                <w:rFonts w:cs="Arial"/>
              </w:rPr>
              <w:t>Apply to g</w:t>
            </w:r>
            <w:r w:rsidRPr="001615F6">
              <w:rPr>
                <w:rFonts w:cs="Arial"/>
              </w:rPr>
              <w:t>raduate (if at an associate-degree granting institution)</w:t>
            </w:r>
          </w:p>
          <w:p w:rsidR="00646900" w:rsidRPr="001615F6" w:rsidRDefault="00646900" w:rsidP="00646900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cs="Arial"/>
              </w:rPr>
            </w:pPr>
            <w:r>
              <w:rPr>
                <w:rFonts w:cs="Arial"/>
              </w:rPr>
              <w:t>Apply to transfer institution</w:t>
            </w:r>
            <w:r w:rsidRPr="001615F6">
              <w:rPr>
                <w:rFonts w:cs="Arial"/>
              </w:rPr>
              <w:t xml:space="preserve"> (if at an associate-degree granting institution)</w:t>
            </w:r>
          </w:p>
        </w:tc>
        <w:tc>
          <w:tcPr>
            <w:tcW w:w="270" w:type="dxa"/>
            <w:vMerge/>
          </w:tcPr>
          <w:p w:rsidR="00646900" w:rsidRDefault="00646900" w:rsidP="00726BA6">
            <w:pPr>
              <w:rPr>
                <w:rFonts w:cs="Arial"/>
              </w:rPr>
            </w:pPr>
          </w:p>
        </w:tc>
        <w:tc>
          <w:tcPr>
            <w:tcW w:w="4608" w:type="dxa"/>
            <w:gridSpan w:val="2"/>
          </w:tcPr>
          <w:p w:rsidR="00646900" w:rsidRDefault="00646900" w:rsidP="00646900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cs="Arial"/>
              </w:rPr>
            </w:pPr>
            <w:r w:rsidRPr="001615F6">
              <w:rPr>
                <w:rFonts w:cs="Arial"/>
              </w:rPr>
              <w:t>Complete all Core Curriculum requirements</w:t>
            </w:r>
          </w:p>
          <w:p w:rsidR="00646900" w:rsidRPr="001615F6" w:rsidRDefault="00646900" w:rsidP="00646900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cs="Arial"/>
              </w:rPr>
            </w:pPr>
            <w:r>
              <w:rPr>
                <w:rFonts w:cs="Arial"/>
              </w:rPr>
              <w:t>Accumulate 60 or more collegiate credits</w:t>
            </w:r>
          </w:p>
          <w:p w:rsidR="00646900" w:rsidRPr="001615F6" w:rsidRDefault="00646900" w:rsidP="00646900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cs="Arial"/>
              </w:rPr>
            </w:pPr>
            <w:r w:rsidRPr="001615F6">
              <w:rPr>
                <w:rFonts w:cs="Arial"/>
              </w:rPr>
              <w:t>Graduate (if at an associate-degree granting institution)</w:t>
            </w:r>
          </w:p>
        </w:tc>
      </w:tr>
    </w:tbl>
    <w:p w:rsidR="00646900" w:rsidRDefault="00646900" w:rsidP="00646900">
      <w:pPr>
        <w:rPr>
          <w:rFonts w:cs="Arial"/>
        </w:rPr>
      </w:pPr>
    </w:p>
    <w:p w:rsidR="00150629" w:rsidRDefault="00150629" w:rsidP="007634C8">
      <w:pPr>
        <w:ind w:left="360" w:hanging="360"/>
      </w:pPr>
      <w:r>
        <w:lastRenderedPageBreak/>
        <w:t>Develop “meta-major” maps for</w:t>
      </w:r>
      <w:r w:rsidR="0088710F">
        <w:t xml:space="preserve"> the first year for</w:t>
      </w:r>
      <w:r>
        <w:t xml:space="preserve"> students who are not sure what they want to major in when they enter.</w:t>
      </w:r>
    </w:p>
    <w:p w:rsidR="00150629" w:rsidRDefault="00150629" w:rsidP="007634C8">
      <w:pPr>
        <w:ind w:left="360" w:hanging="360"/>
      </w:pPr>
      <w:r>
        <w:tab/>
      </w:r>
      <w:r>
        <w:tab/>
      </w:r>
      <w:hyperlink r:id="rId17" w:history="1">
        <w:r w:rsidR="0088710F" w:rsidRPr="00BF3306">
          <w:rPr>
            <w:rStyle w:val="Hyperlink"/>
          </w:rPr>
          <w:t>http://blueprint.ecs.org/resources/meta-majors/</w:t>
        </w:r>
      </w:hyperlink>
    </w:p>
    <w:p w:rsidR="0088710F" w:rsidRDefault="00CE07F8" w:rsidP="0088710F">
      <w:pPr>
        <w:ind w:left="1080" w:hanging="360"/>
      </w:pPr>
      <w:hyperlink r:id="rId18" w:history="1">
        <w:r w:rsidR="0088710F" w:rsidRPr="00BF3306">
          <w:rPr>
            <w:rStyle w:val="Hyperlink"/>
          </w:rPr>
          <w:t>http://www.ecs.org/docs/STATEMENTCorePrinciples.pdf</w:t>
        </w:r>
      </w:hyperlink>
      <w:r w:rsidR="0088710F">
        <w:t xml:space="preserve"> (Principle 7)</w:t>
      </w:r>
    </w:p>
    <w:p w:rsidR="0088710F" w:rsidRDefault="00CE07F8" w:rsidP="0088710F">
      <w:pPr>
        <w:ind w:left="1080" w:hanging="360"/>
      </w:pPr>
      <w:hyperlink r:id="rId19" w:history="1">
        <w:r w:rsidR="0088710F" w:rsidRPr="00BF3306">
          <w:rPr>
            <w:rStyle w:val="Hyperlink"/>
          </w:rPr>
          <w:t>http://www.floridacollegeaccess.org/2013/10/16/meta-major-college-access-word-of-the-week/</w:t>
        </w:r>
      </w:hyperlink>
      <w:r w:rsidR="0088710F">
        <w:t xml:space="preserve"> </w:t>
      </w:r>
    </w:p>
    <w:p w:rsidR="00646900" w:rsidRDefault="00646900" w:rsidP="0088710F">
      <w:pPr>
        <w:ind w:left="1080" w:hanging="360"/>
      </w:pPr>
      <w:r>
        <w:t>Possible USG meta-majors:</w:t>
      </w:r>
    </w:p>
    <w:p w:rsidR="00646900" w:rsidRDefault="00646900" w:rsidP="00646900">
      <w:pPr>
        <w:ind w:left="1440" w:hanging="360"/>
      </w:pPr>
      <w:r>
        <w:t>Business</w:t>
      </w:r>
    </w:p>
    <w:p w:rsidR="00646900" w:rsidRDefault="00646900" w:rsidP="00646900">
      <w:pPr>
        <w:ind w:left="1440" w:hanging="360"/>
      </w:pPr>
      <w:r>
        <w:t>Education</w:t>
      </w:r>
    </w:p>
    <w:p w:rsidR="00646900" w:rsidRDefault="00646900" w:rsidP="00646900">
      <w:pPr>
        <w:ind w:left="1440" w:hanging="360"/>
      </w:pPr>
      <w:r>
        <w:t>Health Professions</w:t>
      </w:r>
    </w:p>
    <w:p w:rsidR="00646900" w:rsidRDefault="00646900" w:rsidP="00646900">
      <w:pPr>
        <w:ind w:left="1440" w:hanging="360"/>
      </w:pPr>
      <w:r>
        <w:t>Humanities</w:t>
      </w:r>
    </w:p>
    <w:p w:rsidR="00646900" w:rsidRDefault="00646900" w:rsidP="00646900">
      <w:pPr>
        <w:ind w:left="1440" w:hanging="360"/>
      </w:pPr>
      <w:r>
        <w:t>Social Sciences</w:t>
      </w:r>
    </w:p>
    <w:p w:rsidR="00646900" w:rsidRDefault="00646900" w:rsidP="00646900">
      <w:pPr>
        <w:ind w:left="1440" w:hanging="360"/>
      </w:pPr>
      <w:r>
        <w:t>STEM</w:t>
      </w:r>
    </w:p>
    <w:p w:rsidR="007634C8" w:rsidRDefault="007634C8" w:rsidP="007634C8">
      <w:pPr>
        <w:ind w:left="360" w:hanging="360"/>
      </w:pPr>
      <w:r>
        <w:t>Consider making block schedules available for freshmen with 15 credits per semester, math and English</w:t>
      </w:r>
      <w:r w:rsidR="00E84CF4">
        <w:t xml:space="preserve"> completed</w:t>
      </w:r>
      <w:r>
        <w:t xml:space="preserve"> in</w:t>
      </w:r>
      <w:r w:rsidR="00E84CF4">
        <w:t xml:space="preserve"> the</w:t>
      </w:r>
      <w:r>
        <w:t xml:space="preserve"> first year.</w:t>
      </w:r>
    </w:p>
    <w:p w:rsidR="000300C8" w:rsidRDefault="000300C8"/>
    <w:p w:rsidR="006B67FC" w:rsidRDefault="006B67FC"/>
    <w:p w:rsidR="009A452A" w:rsidRPr="000300C8" w:rsidRDefault="000300C8" w:rsidP="00375E13">
      <w:pPr>
        <w:rPr>
          <w:b/>
          <w:sz w:val="28"/>
          <w:szCs w:val="28"/>
        </w:rPr>
      </w:pPr>
      <w:r w:rsidRPr="000300C8">
        <w:rPr>
          <w:b/>
          <w:sz w:val="28"/>
          <w:szCs w:val="28"/>
        </w:rPr>
        <w:t>Reverse Transfer</w:t>
      </w:r>
      <w:r w:rsidR="007A5498">
        <w:rPr>
          <w:b/>
          <w:sz w:val="28"/>
          <w:szCs w:val="28"/>
        </w:rPr>
        <w:t xml:space="preserve"> (Credit When </w:t>
      </w:r>
      <w:proofErr w:type="gramStart"/>
      <w:r w:rsidR="007A5498">
        <w:rPr>
          <w:b/>
          <w:sz w:val="28"/>
          <w:szCs w:val="28"/>
        </w:rPr>
        <w:t>It’s</w:t>
      </w:r>
      <w:proofErr w:type="gramEnd"/>
      <w:r w:rsidR="007A5498">
        <w:rPr>
          <w:b/>
          <w:sz w:val="28"/>
          <w:szCs w:val="28"/>
        </w:rPr>
        <w:t xml:space="preserve"> Due – Lumina)</w:t>
      </w:r>
    </w:p>
    <w:p w:rsidR="000300C8" w:rsidRDefault="000300C8" w:rsidP="00375E13"/>
    <w:p w:rsidR="000300C8" w:rsidRDefault="000300C8" w:rsidP="00375E13">
      <w:r>
        <w:t xml:space="preserve">Reverse transfer = awarding associate degrees to students who have transferred to other USG institutions without completing associate degrees.  Transfer </w:t>
      </w:r>
      <w:r w:rsidRPr="000E22F5">
        <w:rPr>
          <w:b/>
        </w:rPr>
        <w:t>credits</w:t>
      </w:r>
      <w:r>
        <w:t xml:space="preserve"> back to associate degree institution</w:t>
      </w:r>
      <w:r w:rsidR="00090EC6">
        <w:t>s</w:t>
      </w:r>
      <w:r w:rsidR="000E22F5">
        <w:t xml:space="preserve"> to satisfy degree requirements to increase the number of</w:t>
      </w:r>
      <w:r>
        <w:t xml:space="preserve"> associate degrees awarded</w:t>
      </w:r>
      <w:r w:rsidR="00216F8E">
        <w:t>.</w:t>
      </w:r>
    </w:p>
    <w:p w:rsidR="00ED6717" w:rsidRDefault="00ED6717" w:rsidP="00375E13"/>
    <w:p w:rsidR="00ED6717" w:rsidRDefault="00ED6717" w:rsidP="00375E13">
      <w:r>
        <w:t xml:space="preserve">VPAA Survey Results </w:t>
      </w:r>
      <w:r w:rsidR="000E22F5">
        <w:t>from</w:t>
      </w:r>
      <w:r>
        <w:t xml:space="preserve"> </w:t>
      </w:r>
      <w:proofErr w:type="gramStart"/>
      <w:r>
        <w:t>Fall</w:t>
      </w:r>
      <w:proofErr w:type="gramEnd"/>
      <w:r>
        <w:t xml:space="preserve"> 2013</w:t>
      </w:r>
      <w:r w:rsidR="000E22F5">
        <w:t>.  VPAAs wanted:</w:t>
      </w:r>
    </w:p>
    <w:p w:rsidR="000E22F5" w:rsidRDefault="00ED6717" w:rsidP="00ED6717">
      <w:pPr>
        <w:pStyle w:val="ListParagraph"/>
        <w:numPr>
          <w:ilvl w:val="0"/>
          <w:numId w:val="13"/>
        </w:numPr>
        <w:rPr>
          <w:rFonts w:eastAsia="MS PGothic" w:cs="Arial"/>
          <w:kern w:val="24"/>
        </w:rPr>
      </w:pPr>
      <w:r w:rsidRPr="00ED6717">
        <w:rPr>
          <w:rFonts w:eastAsia="MS PGothic" w:cs="Arial"/>
          <w:kern w:val="24"/>
        </w:rPr>
        <w:t>A centralized USG process for reverse transfer, including appropria</w:t>
      </w:r>
      <w:r w:rsidR="000E22F5">
        <w:rPr>
          <w:rFonts w:eastAsia="MS PGothic" w:cs="Arial"/>
          <w:kern w:val="24"/>
        </w:rPr>
        <w:t>te training for registrars</w:t>
      </w:r>
    </w:p>
    <w:p w:rsidR="000E22F5" w:rsidRDefault="00ED6717" w:rsidP="00ED6717">
      <w:pPr>
        <w:pStyle w:val="ListParagraph"/>
        <w:numPr>
          <w:ilvl w:val="0"/>
          <w:numId w:val="13"/>
        </w:numPr>
        <w:rPr>
          <w:rFonts w:eastAsia="MS PGothic" w:cs="Arial"/>
          <w:kern w:val="24"/>
        </w:rPr>
      </w:pPr>
      <w:r w:rsidRPr="00ED6717">
        <w:rPr>
          <w:rFonts w:eastAsia="MS PGothic" w:cs="Arial"/>
          <w:kern w:val="24"/>
        </w:rPr>
        <w:t>Clear models, gui</w:t>
      </w:r>
      <w:r w:rsidR="000E22F5">
        <w:rPr>
          <w:rFonts w:eastAsia="MS PGothic" w:cs="Arial"/>
          <w:kern w:val="24"/>
        </w:rPr>
        <w:t>delines, practices, and how-</w:t>
      </w:r>
      <w:proofErr w:type="spellStart"/>
      <w:r w:rsidR="000E22F5">
        <w:rPr>
          <w:rFonts w:eastAsia="MS PGothic" w:cs="Arial"/>
          <w:kern w:val="24"/>
        </w:rPr>
        <w:t>tos</w:t>
      </w:r>
      <w:proofErr w:type="spellEnd"/>
    </w:p>
    <w:p w:rsidR="00ED6717" w:rsidRPr="000E22F5" w:rsidRDefault="00ED6717" w:rsidP="00ED6717">
      <w:pPr>
        <w:pStyle w:val="ListParagraph"/>
        <w:numPr>
          <w:ilvl w:val="0"/>
          <w:numId w:val="13"/>
        </w:numPr>
      </w:pPr>
      <w:r w:rsidRPr="00ED6717">
        <w:rPr>
          <w:rFonts w:eastAsia="MS PGothic" w:cs="Arial"/>
          <w:kern w:val="24"/>
        </w:rPr>
        <w:t>Efficient ways to share student data between receiving and sending institutions, including automatic triggers for review of reverse transfer</w:t>
      </w:r>
    </w:p>
    <w:p w:rsidR="00ED6717" w:rsidRPr="00ED6717" w:rsidRDefault="00ED6717" w:rsidP="000E22F5">
      <w:pPr>
        <w:pStyle w:val="ListParagraph"/>
        <w:numPr>
          <w:ilvl w:val="0"/>
          <w:numId w:val="13"/>
        </w:numPr>
        <w:rPr>
          <w:rFonts w:eastAsia="MS PGothic" w:cs="Arial"/>
          <w:kern w:val="24"/>
        </w:rPr>
      </w:pPr>
      <w:r w:rsidRPr="00ED6717">
        <w:rPr>
          <w:rFonts w:eastAsia="MS PGothic" w:cs="Arial"/>
          <w:kern w:val="24"/>
        </w:rPr>
        <w:t>Assurance that both sending and receiving institutions will receive appropriate credit for associate degrees earned via reverse transfer when performance-bas</w:t>
      </w:r>
      <w:r w:rsidR="000E22F5">
        <w:rPr>
          <w:rFonts w:eastAsia="MS PGothic" w:cs="Arial"/>
          <w:kern w:val="24"/>
        </w:rPr>
        <w:t>ed funding is fully implemented</w:t>
      </w:r>
    </w:p>
    <w:p w:rsidR="000E22F5" w:rsidRDefault="00ED6717" w:rsidP="000E22F5">
      <w:pPr>
        <w:pStyle w:val="ListParagraph"/>
        <w:numPr>
          <w:ilvl w:val="0"/>
          <w:numId w:val="13"/>
        </w:numPr>
      </w:pPr>
      <w:r w:rsidRPr="00ED6717">
        <w:rPr>
          <w:rFonts w:eastAsia="MS PGothic" w:cs="Arial"/>
          <w:kern w:val="24"/>
        </w:rPr>
        <w:t>Clear explanations of the benefits of associate degree completion to students at sending and receiving institutions and models for communicat</w:t>
      </w:r>
      <w:r w:rsidR="000E22F5">
        <w:rPr>
          <w:rFonts w:eastAsia="MS PGothic" w:cs="Arial"/>
          <w:kern w:val="24"/>
        </w:rPr>
        <w:t>ing this to both constituencies</w:t>
      </w:r>
    </w:p>
    <w:p w:rsidR="00216F8E" w:rsidRDefault="00216F8E" w:rsidP="00375E13">
      <w:r>
        <w:t>What you can do now:</w:t>
      </w:r>
    </w:p>
    <w:p w:rsidR="0091150B" w:rsidRDefault="0091150B" w:rsidP="0091150B">
      <w:pPr>
        <w:ind w:left="360"/>
      </w:pPr>
      <w:r>
        <w:t>Associate degree institutions</w:t>
      </w:r>
      <w:r w:rsidR="000E22F5">
        <w:t xml:space="preserve"> – Remove barriers to reverse transfer</w:t>
      </w:r>
    </w:p>
    <w:p w:rsidR="0091150B" w:rsidRDefault="0091150B" w:rsidP="0091150B">
      <w:pPr>
        <w:pStyle w:val="ListParagraph"/>
        <w:numPr>
          <w:ilvl w:val="0"/>
          <w:numId w:val="16"/>
        </w:numPr>
      </w:pPr>
      <w:r>
        <w:t>Ensure that students do not have to be currently enrolled to graduate from your institution.</w:t>
      </w:r>
    </w:p>
    <w:p w:rsidR="0091150B" w:rsidRDefault="0091150B" w:rsidP="0091150B">
      <w:pPr>
        <w:pStyle w:val="ListParagraph"/>
        <w:numPr>
          <w:ilvl w:val="0"/>
          <w:numId w:val="16"/>
        </w:numPr>
      </w:pPr>
      <w:r>
        <w:t>Ensure that students can transfer BACK the same amount of credit that they can transfer IN.</w:t>
      </w:r>
    </w:p>
    <w:p w:rsidR="0091150B" w:rsidRDefault="000E22F5" w:rsidP="0091150B">
      <w:pPr>
        <w:pStyle w:val="ListParagraph"/>
        <w:numPr>
          <w:ilvl w:val="0"/>
          <w:numId w:val="16"/>
        </w:numPr>
      </w:pPr>
      <w:r>
        <w:t>Consider eliminating</w:t>
      </w:r>
      <w:r w:rsidR="0091150B">
        <w:t xml:space="preserve"> graduation application fees</w:t>
      </w:r>
      <w:r>
        <w:t>.</w:t>
      </w:r>
    </w:p>
    <w:p w:rsidR="0091150B" w:rsidRDefault="0091150B" w:rsidP="0091150B">
      <w:pPr>
        <w:ind w:left="360"/>
      </w:pPr>
      <w:r>
        <w:t>Receiving institutions</w:t>
      </w:r>
      <w:r w:rsidR="000E22F5">
        <w:t xml:space="preserve"> – Facilitate reverse transfer</w:t>
      </w:r>
    </w:p>
    <w:p w:rsidR="006B67FC" w:rsidRDefault="006B67FC" w:rsidP="006B67FC">
      <w:pPr>
        <w:pStyle w:val="ListParagraph"/>
        <w:numPr>
          <w:ilvl w:val="0"/>
          <w:numId w:val="19"/>
        </w:numPr>
      </w:pPr>
      <w:r>
        <w:t xml:space="preserve">For this year, consider whether you could send batch data to one or more of your major (USG) sending institutions using the following selection </w:t>
      </w:r>
      <w:proofErr w:type="spellStart"/>
      <w:r>
        <w:t>critera</w:t>
      </w:r>
      <w:proofErr w:type="spellEnd"/>
      <w:r>
        <w:t>:</w:t>
      </w:r>
    </w:p>
    <w:p w:rsidR="006B67FC" w:rsidRDefault="006B67FC" w:rsidP="006B67FC">
      <w:pPr>
        <w:pStyle w:val="ListParagraph"/>
        <w:numPr>
          <w:ilvl w:val="1"/>
          <w:numId w:val="19"/>
        </w:numPr>
        <w:ind w:left="1080"/>
      </w:pPr>
      <w:r>
        <w:t>Student earned 30 or more collegiate credit hours at the sending institution</w:t>
      </w:r>
    </w:p>
    <w:p w:rsidR="006B67FC" w:rsidRDefault="006B67FC" w:rsidP="006B67FC">
      <w:pPr>
        <w:pStyle w:val="ListParagraph"/>
        <w:numPr>
          <w:ilvl w:val="1"/>
          <w:numId w:val="19"/>
        </w:numPr>
        <w:ind w:left="1080"/>
      </w:pPr>
      <w:r>
        <w:t>Student has at least 60 accumulated transfer hours (at sending and receiving institutions combined)</w:t>
      </w:r>
    </w:p>
    <w:p w:rsidR="006B67FC" w:rsidRDefault="006B67FC" w:rsidP="006B67FC">
      <w:pPr>
        <w:pStyle w:val="ListParagraph"/>
        <w:numPr>
          <w:ilvl w:val="1"/>
          <w:numId w:val="19"/>
        </w:numPr>
        <w:ind w:left="1080"/>
      </w:pPr>
      <w:r>
        <w:t>Student is enrolled this academic year.</w:t>
      </w:r>
    </w:p>
    <w:p w:rsidR="006B67FC" w:rsidRDefault="006B67FC" w:rsidP="006B67FC">
      <w:pPr>
        <w:pStyle w:val="ListParagraph"/>
        <w:numPr>
          <w:ilvl w:val="1"/>
          <w:numId w:val="19"/>
        </w:numPr>
        <w:ind w:left="1080"/>
      </w:pPr>
      <w:r>
        <w:t>Student has not received an associate or bachelor’s degree.</w:t>
      </w:r>
    </w:p>
    <w:p w:rsidR="006B67FC" w:rsidRDefault="006B67FC" w:rsidP="006B67FC">
      <w:pPr>
        <w:pStyle w:val="ListParagraph"/>
        <w:numPr>
          <w:ilvl w:val="0"/>
          <w:numId w:val="19"/>
        </w:numPr>
      </w:pPr>
      <w:r>
        <w:t xml:space="preserve">Consider </w:t>
      </w:r>
      <w:r w:rsidR="000E22F5">
        <w:t>whether it would be possible to waive</w:t>
      </w:r>
      <w:r>
        <w:t xml:space="preserve"> fees for transcripts sent to other USG institutions in support of reverse transfer.</w:t>
      </w:r>
    </w:p>
    <w:p w:rsidR="0091150B" w:rsidRDefault="0091150B" w:rsidP="0091150B">
      <w:r>
        <w:t>Moving forward</w:t>
      </w:r>
      <w:r w:rsidR="006B67FC">
        <w:t>:</w:t>
      </w:r>
    </w:p>
    <w:p w:rsidR="0091150B" w:rsidRDefault="0091150B" w:rsidP="0091150B">
      <w:pPr>
        <w:ind w:left="360"/>
      </w:pPr>
      <w:r>
        <w:t>Associate degree institutions</w:t>
      </w:r>
    </w:p>
    <w:p w:rsidR="0091150B" w:rsidRDefault="0091150B" w:rsidP="0091150B">
      <w:pPr>
        <w:pStyle w:val="ListParagraph"/>
        <w:numPr>
          <w:ilvl w:val="0"/>
          <w:numId w:val="17"/>
        </w:numPr>
      </w:pPr>
      <w:r>
        <w:t>Have students apply to graduate when they matriculate at your institution and have students prepay the graduation fee.</w:t>
      </w:r>
    </w:p>
    <w:p w:rsidR="0091150B" w:rsidRDefault="0091150B" w:rsidP="0091150B">
      <w:pPr>
        <w:pStyle w:val="ListParagraph"/>
        <w:numPr>
          <w:ilvl w:val="0"/>
          <w:numId w:val="17"/>
        </w:numPr>
      </w:pPr>
      <w:r>
        <w:lastRenderedPageBreak/>
        <w:t>Upon matriculation, have students sign an agreement that your institution may receive transcript information from other USG institutions for the specific purpose of awarding an associate degree.</w:t>
      </w:r>
    </w:p>
    <w:p w:rsidR="0091150B" w:rsidRDefault="0091150B" w:rsidP="0091150B">
      <w:pPr>
        <w:ind w:left="360"/>
      </w:pPr>
      <w:r>
        <w:t>Receiving institutions</w:t>
      </w:r>
    </w:p>
    <w:p w:rsidR="000300C8" w:rsidRPr="007A5498" w:rsidRDefault="0091150B" w:rsidP="006B67FC">
      <w:pPr>
        <w:pStyle w:val="ListParagraph"/>
        <w:numPr>
          <w:ilvl w:val="0"/>
          <w:numId w:val="18"/>
        </w:numPr>
        <w:ind w:left="720"/>
      </w:pPr>
      <w:r>
        <w:t>Upon matriculation, have students sign an agreement that your institution may send transcript information to other USG institutions for the specific purpose of awarding an associate degree.</w:t>
      </w:r>
    </w:p>
    <w:sectPr w:rsidR="000300C8" w:rsidRPr="007A5498" w:rsidSect="007C59DA">
      <w:footerReference w:type="default" r:id="rId20"/>
      <w:pgSz w:w="12240" w:h="15840" w:code="1"/>
      <w:pgMar w:top="1008" w:right="1008" w:bottom="1440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9E" w:rsidRDefault="0042139E" w:rsidP="00090EC6">
      <w:r>
        <w:separator/>
      </w:r>
    </w:p>
  </w:endnote>
  <w:endnote w:type="continuationSeparator" w:id="0">
    <w:p w:rsidR="0042139E" w:rsidRDefault="0042139E" w:rsidP="0009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5638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0EC6" w:rsidRDefault="00090E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7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0EC6" w:rsidRDefault="00090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9E" w:rsidRDefault="0042139E" w:rsidP="00090EC6">
      <w:r>
        <w:separator/>
      </w:r>
    </w:p>
  </w:footnote>
  <w:footnote w:type="continuationSeparator" w:id="0">
    <w:p w:rsidR="0042139E" w:rsidRDefault="0042139E" w:rsidP="0009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D27"/>
    <w:multiLevelType w:val="hybridMultilevel"/>
    <w:tmpl w:val="1A9E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508C8"/>
    <w:multiLevelType w:val="hybridMultilevel"/>
    <w:tmpl w:val="0F80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24B02"/>
    <w:multiLevelType w:val="hybridMultilevel"/>
    <w:tmpl w:val="A6B0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81FCB"/>
    <w:multiLevelType w:val="hybridMultilevel"/>
    <w:tmpl w:val="AF8E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87F0B"/>
    <w:multiLevelType w:val="hybridMultilevel"/>
    <w:tmpl w:val="349C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76F47"/>
    <w:multiLevelType w:val="hybridMultilevel"/>
    <w:tmpl w:val="767AC5F4"/>
    <w:lvl w:ilvl="0" w:tplc="CA349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5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2A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0E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2A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25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0B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E5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6F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E3366C"/>
    <w:multiLevelType w:val="hybridMultilevel"/>
    <w:tmpl w:val="2DEAF3E0"/>
    <w:lvl w:ilvl="0" w:tplc="A11C1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87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CC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67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E9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CC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23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CD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3A0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5B698F"/>
    <w:multiLevelType w:val="hybridMultilevel"/>
    <w:tmpl w:val="AFD0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F6727"/>
    <w:multiLevelType w:val="hybridMultilevel"/>
    <w:tmpl w:val="3376A10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7FC07D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02A06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C704B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D7C4B0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27807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FCEBB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A3CF5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4B0040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>
    <w:nsid w:val="3F6375F4"/>
    <w:multiLevelType w:val="hybridMultilevel"/>
    <w:tmpl w:val="E6B68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084179"/>
    <w:multiLevelType w:val="hybridMultilevel"/>
    <w:tmpl w:val="45E6F8E0"/>
    <w:lvl w:ilvl="0" w:tplc="6F80E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27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F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C1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45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4C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21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D21E48"/>
    <w:multiLevelType w:val="hybridMultilevel"/>
    <w:tmpl w:val="E7728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F46CF4"/>
    <w:multiLevelType w:val="hybridMultilevel"/>
    <w:tmpl w:val="3E6A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169CC"/>
    <w:multiLevelType w:val="hybridMultilevel"/>
    <w:tmpl w:val="F6B29AF0"/>
    <w:lvl w:ilvl="0" w:tplc="6F80E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27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F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C1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45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4C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21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8CF1201"/>
    <w:multiLevelType w:val="hybridMultilevel"/>
    <w:tmpl w:val="EC1A269C"/>
    <w:lvl w:ilvl="0" w:tplc="9C088BB8">
      <w:start w:val="1"/>
      <w:numFmt w:val="bullet"/>
      <w:lvlText w:val="•"/>
      <w:lvlJc w:val="left"/>
      <w:pPr>
        <w:tabs>
          <w:tab w:val="num" w:pos="159"/>
        </w:tabs>
        <w:ind w:left="159" w:hanging="360"/>
      </w:pPr>
      <w:rPr>
        <w:rFonts w:ascii="Arial" w:hAnsi="Arial" w:hint="default"/>
      </w:rPr>
    </w:lvl>
    <w:lvl w:ilvl="1" w:tplc="7FC07D7C" w:tentative="1">
      <w:start w:val="1"/>
      <w:numFmt w:val="bullet"/>
      <w:lvlText w:val="•"/>
      <w:lvlJc w:val="left"/>
      <w:pPr>
        <w:tabs>
          <w:tab w:val="num" w:pos="879"/>
        </w:tabs>
        <w:ind w:left="879" w:hanging="360"/>
      </w:pPr>
      <w:rPr>
        <w:rFonts w:ascii="Arial" w:hAnsi="Arial" w:hint="default"/>
      </w:rPr>
    </w:lvl>
    <w:lvl w:ilvl="2" w:tplc="902A0608" w:tentative="1">
      <w:start w:val="1"/>
      <w:numFmt w:val="bullet"/>
      <w:lvlText w:val="•"/>
      <w:lvlJc w:val="left"/>
      <w:pPr>
        <w:tabs>
          <w:tab w:val="num" w:pos="1599"/>
        </w:tabs>
        <w:ind w:left="1599" w:hanging="360"/>
      </w:pPr>
      <w:rPr>
        <w:rFonts w:ascii="Arial" w:hAnsi="Arial" w:hint="default"/>
      </w:rPr>
    </w:lvl>
    <w:lvl w:ilvl="3" w:tplc="DC704BE0" w:tentative="1">
      <w:start w:val="1"/>
      <w:numFmt w:val="bullet"/>
      <w:lvlText w:val="•"/>
      <w:lvlJc w:val="left"/>
      <w:pPr>
        <w:tabs>
          <w:tab w:val="num" w:pos="2319"/>
        </w:tabs>
        <w:ind w:left="2319" w:hanging="360"/>
      </w:pPr>
      <w:rPr>
        <w:rFonts w:ascii="Arial" w:hAnsi="Arial" w:hint="default"/>
      </w:rPr>
    </w:lvl>
    <w:lvl w:ilvl="4" w:tplc="2D7C4B04" w:tentative="1">
      <w:start w:val="1"/>
      <w:numFmt w:val="bullet"/>
      <w:lvlText w:val="•"/>
      <w:lvlJc w:val="left"/>
      <w:pPr>
        <w:tabs>
          <w:tab w:val="num" w:pos="3039"/>
        </w:tabs>
        <w:ind w:left="3039" w:hanging="360"/>
      </w:pPr>
      <w:rPr>
        <w:rFonts w:ascii="Arial" w:hAnsi="Arial" w:hint="default"/>
      </w:rPr>
    </w:lvl>
    <w:lvl w:ilvl="5" w:tplc="62780708" w:tentative="1">
      <w:start w:val="1"/>
      <w:numFmt w:val="bullet"/>
      <w:lvlText w:val="•"/>
      <w:lvlJc w:val="left"/>
      <w:pPr>
        <w:tabs>
          <w:tab w:val="num" w:pos="3759"/>
        </w:tabs>
        <w:ind w:left="3759" w:hanging="360"/>
      </w:pPr>
      <w:rPr>
        <w:rFonts w:ascii="Arial" w:hAnsi="Arial" w:hint="default"/>
      </w:rPr>
    </w:lvl>
    <w:lvl w:ilvl="6" w:tplc="0FCEBBF4" w:tentative="1">
      <w:start w:val="1"/>
      <w:numFmt w:val="bullet"/>
      <w:lvlText w:val="•"/>
      <w:lvlJc w:val="left"/>
      <w:pPr>
        <w:tabs>
          <w:tab w:val="num" w:pos="4479"/>
        </w:tabs>
        <w:ind w:left="4479" w:hanging="360"/>
      </w:pPr>
      <w:rPr>
        <w:rFonts w:ascii="Arial" w:hAnsi="Arial" w:hint="default"/>
      </w:rPr>
    </w:lvl>
    <w:lvl w:ilvl="7" w:tplc="0A3CF55E" w:tentative="1">
      <w:start w:val="1"/>
      <w:numFmt w:val="bullet"/>
      <w:lvlText w:val="•"/>
      <w:lvlJc w:val="left"/>
      <w:pPr>
        <w:tabs>
          <w:tab w:val="num" w:pos="5199"/>
        </w:tabs>
        <w:ind w:left="5199" w:hanging="360"/>
      </w:pPr>
      <w:rPr>
        <w:rFonts w:ascii="Arial" w:hAnsi="Arial" w:hint="default"/>
      </w:rPr>
    </w:lvl>
    <w:lvl w:ilvl="8" w:tplc="D4B0040E" w:tentative="1">
      <w:start w:val="1"/>
      <w:numFmt w:val="bullet"/>
      <w:lvlText w:val="•"/>
      <w:lvlJc w:val="left"/>
      <w:pPr>
        <w:tabs>
          <w:tab w:val="num" w:pos="5919"/>
        </w:tabs>
        <w:ind w:left="5919" w:hanging="360"/>
      </w:pPr>
      <w:rPr>
        <w:rFonts w:ascii="Arial" w:hAnsi="Arial" w:hint="default"/>
      </w:rPr>
    </w:lvl>
  </w:abstractNum>
  <w:abstractNum w:abstractNumId="15">
    <w:nsid w:val="6F350DFE"/>
    <w:multiLevelType w:val="hybridMultilevel"/>
    <w:tmpl w:val="FDB6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902F3"/>
    <w:multiLevelType w:val="hybridMultilevel"/>
    <w:tmpl w:val="9DB4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A153B"/>
    <w:multiLevelType w:val="hybridMultilevel"/>
    <w:tmpl w:val="36F4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6B7C25"/>
    <w:multiLevelType w:val="hybridMultilevel"/>
    <w:tmpl w:val="F86C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8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11"/>
  </w:num>
  <w:num w:numId="10">
    <w:abstractNumId w:val="4"/>
  </w:num>
  <w:num w:numId="11">
    <w:abstractNumId w:val="16"/>
  </w:num>
  <w:num w:numId="12">
    <w:abstractNumId w:val="2"/>
  </w:num>
  <w:num w:numId="13">
    <w:abstractNumId w:val="18"/>
  </w:num>
  <w:num w:numId="14">
    <w:abstractNumId w:val="6"/>
  </w:num>
  <w:num w:numId="15">
    <w:abstractNumId w:val="5"/>
  </w:num>
  <w:num w:numId="16">
    <w:abstractNumId w:val="0"/>
  </w:num>
  <w:num w:numId="17">
    <w:abstractNumId w:val="12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13"/>
    <w:rsid w:val="000300C8"/>
    <w:rsid w:val="00090EC6"/>
    <w:rsid w:val="000A5A45"/>
    <w:rsid w:val="000E22F5"/>
    <w:rsid w:val="000E690E"/>
    <w:rsid w:val="00150629"/>
    <w:rsid w:val="001F0382"/>
    <w:rsid w:val="00216F8E"/>
    <w:rsid w:val="00261FB3"/>
    <w:rsid w:val="00276EF8"/>
    <w:rsid w:val="002961E0"/>
    <w:rsid w:val="00375E13"/>
    <w:rsid w:val="0042139E"/>
    <w:rsid w:val="004416AE"/>
    <w:rsid w:val="00464C98"/>
    <w:rsid w:val="005922A7"/>
    <w:rsid w:val="00646900"/>
    <w:rsid w:val="006B67FC"/>
    <w:rsid w:val="007634C8"/>
    <w:rsid w:val="00766910"/>
    <w:rsid w:val="0077785E"/>
    <w:rsid w:val="007A5498"/>
    <w:rsid w:val="007C59DA"/>
    <w:rsid w:val="0088710F"/>
    <w:rsid w:val="008A4A17"/>
    <w:rsid w:val="008B0E6E"/>
    <w:rsid w:val="0091150B"/>
    <w:rsid w:val="00956EAD"/>
    <w:rsid w:val="009A452A"/>
    <w:rsid w:val="00A82D60"/>
    <w:rsid w:val="00CA77DA"/>
    <w:rsid w:val="00CE07F8"/>
    <w:rsid w:val="00E84CF4"/>
    <w:rsid w:val="00ED6717"/>
    <w:rsid w:val="00F8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E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5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961E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6F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78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0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EC6"/>
  </w:style>
  <w:style w:type="paragraph" w:styleId="Footer">
    <w:name w:val="footer"/>
    <w:basedOn w:val="Normal"/>
    <w:link w:val="FooterChar"/>
    <w:uiPriority w:val="99"/>
    <w:unhideWhenUsed/>
    <w:rsid w:val="00090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E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5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961E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6F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78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0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EC6"/>
  </w:style>
  <w:style w:type="paragraph" w:styleId="Footer">
    <w:name w:val="footer"/>
    <w:basedOn w:val="Normal"/>
    <w:link w:val="FooterChar"/>
    <w:uiPriority w:val="99"/>
    <w:unhideWhenUsed/>
    <w:rsid w:val="00090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7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noa.hawaii.edu/ovcaa/programsheets/" TargetMode="External"/><Relationship Id="rId18" Type="http://schemas.openxmlformats.org/officeDocument/2006/relationships/hyperlink" Target="http://www.ecs.org/docs/STATEMENTCorePrinciples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ompletecollege.org/docs/GPS%20BOOKLET%2006-14%20FINAL.pdf" TargetMode="External"/><Relationship Id="rId17" Type="http://schemas.openxmlformats.org/officeDocument/2006/relationships/hyperlink" Target="http://blueprint.ecs.org/resources/meta-majo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gc.edu/academics/plan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5tofinishgeorgia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talog.gsu.edu/undergraduate20132014/course_curriculum/b-s-in-criminal-justice-legal-issues-track/" TargetMode="External"/><Relationship Id="rId10" Type="http://schemas.openxmlformats.org/officeDocument/2006/relationships/hyperlink" Target="http://www.15tofinishgeorgia.com" TargetMode="External"/><Relationship Id="rId19" Type="http://schemas.openxmlformats.org/officeDocument/2006/relationships/hyperlink" Target="http://www.floridacollegeaccess.org/2013/10/16/meta-major-college-access-word-of-the-wee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bara.Brown@usg.edu" TargetMode="External"/><Relationship Id="rId14" Type="http://schemas.openxmlformats.org/officeDocument/2006/relationships/hyperlink" Target="http://www.gpc.edu/programs/programmap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9035-D9B8-433A-B6CB-6A1702A8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6915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L. Brown</dc:creator>
  <cp:lastModifiedBy>fwilliam</cp:lastModifiedBy>
  <cp:revision>2</cp:revision>
  <cp:lastPrinted>2014-02-24T19:54:00Z</cp:lastPrinted>
  <dcterms:created xsi:type="dcterms:W3CDTF">2014-02-27T16:04:00Z</dcterms:created>
  <dcterms:modified xsi:type="dcterms:W3CDTF">2014-02-27T16:04:00Z</dcterms:modified>
</cp:coreProperties>
</file>