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98158C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EC0DCD" w:rsidRPr="00CA7528" w:rsidRDefault="00EC0DCD" w:rsidP="00A66D00">
      <w:r>
        <w:t xml:space="preserve">The Budget Prep Module Task List is meant to guide you through scenarios to ensure proper security, menus, and panels operate in the manner they are expected and ensure a stable and successful tools upgrade.  This UAT exercise will take you from the extract to the export and give you scripts to ensure that you are able to navigate, </w:t>
      </w:r>
      <w:r w:rsidR="00A75C5F">
        <w:t xml:space="preserve">process, and complete the exercises.  </w:t>
      </w:r>
      <w:r w:rsidR="00A75C5F" w:rsidRPr="00CA7528">
        <w:t>Any errors/issues should be noted as “Fail” and the details should be listed in the comm</w:t>
      </w:r>
      <w:r w:rsidR="00611E14" w:rsidRPr="00CA7528">
        <w:t xml:space="preserve">ents section of the task list and an email notification sent to </w:t>
      </w:r>
      <w:r w:rsidR="003576DD" w:rsidRPr="003576DD">
        <w:rPr>
          <w:color w:val="FF0000"/>
        </w:rPr>
        <w:t>PSFIN@USG.EDU</w:t>
      </w:r>
      <w:r w:rsidR="00611E14" w:rsidRPr="003576DD">
        <w:rPr>
          <w:color w:val="FF0000"/>
        </w:rPr>
        <w:t xml:space="preserve"> </w:t>
      </w:r>
      <w:r w:rsidR="00611E14" w:rsidRPr="00CA7528">
        <w:t xml:space="preserve">so the process can be reviewed by ITS staff immediately. </w:t>
      </w:r>
      <w:r w:rsidR="00CB2880">
        <w:t xml:space="preserve">  </w:t>
      </w:r>
    </w:p>
    <w:p w:rsidR="00FC1231" w:rsidRDefault="00FC1231" w:rsidP="00FC1231">
      <w:pPr>
        <w:pStyle w:val="NormalWeb"/>
        <w:spacing w:before="200" w:beforeAutospacing="0" w:after="200" w:afterAutospacing="0" w:line="260" w:lineRule="atLeast"/>
        <w:rPr>
          <w:rFonts w:ascii="Calibri" w:hAnsi="Calibri" w:cs="MS Shell Dlg 2"/>
          <w:color w:val="000000"/>
          <w:sz w:val="22"/>
          <w:szCs w:val="22"/>
        </w:rPr>
      </w:pPr>
      <w:r>
        <w:rPr>
          <w:rFonts w:ascii="Calibri" w:hAnsi="Calibri" w:cs="MS Shell Dlg 2"/>
          <w:color w:val="000000"/>
          <w:sz w:val="22"/>
          <w:szCs w:val="22"/>
        </w:rPr>
        <w:t>Existing Run Control IDs may be used, but it is recommended that users verify all parameters to ensure correct results are produced.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81"/>
        <w:gridCol w:w="3239"/>
        <w:gridCol w:w="1262"/>
        <w:gridCol w:w="3420"/>
        <w:gridCol w:w="1547"/>
      </w:tblGrid>
      <w:tr w:rsidR="00A66D00" w:rsidRPr="00C8327F" w:rsidTr="00DB4CE1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8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87" w:type="pct"/>
            <w:vAlign w:val="center"/>
          </w:tcPr>
          <w:p w:rsidR="00A66D00" w:rsidRDefault="0098158C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DB4CE1" w:rsidTr="00DB4CE1">
        <w:tc>
          <w:tcPr>
            <w:tcW w:w="238" w:type="pct"/>
          </w:tcPr>
          <w:p w:rsidR="00A66D00" w:rsidRDefault="00A66D00" w:rsidP="003A3FA5">
            <w:pPr>
              <w:jc w:val="center"/>
            </w:pPr>
          </w:p>
        </w:tc>
        <w:tc>
          <w:tcPr>
            <w:tcW w:w="1169" w:type="pct"/>
            <w:shd w:val="clear" w:color="auto" w:fill="auto"/>
          </w:tcPr>
          <w:p w:rsidR="00A66D00" w:rsidRPr="00A75C5F" w:rsidRDefault="00A75C5F" w:rsidP="003A3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Setup Hours/Parameters</w:t>
            </w:r>
          </w:p>
        </w:tc>
        <w:tc>
          <w:tcPr>
            <w:tcW w:w="1229" w:type="pct"/>
            <w:shd w:val="clear" w:color="auto" w:fill="auto"/>
          </w:tcPr>
          <w:p w:rsidR="00A66D00" w:rsidRDefault="00A66D00" w:rsidP="00A75C5F"/>
        </w:tc>
        <w:tc>
          <w:tcPr>
            <w:tcW w:w="479" w:type="pct"/>
            <w:shd w:val="clear" w:color="auto" w:fill="auto"/>
          </w:tcPr>
          <w:p w:rsidR="00A66D00" w:rsidRDefault="00A75C5F" w:rsidP="00AA5508">
            <w:r>
              <w:t>Pass</w:t>
            </w:r>
          </w:p>
        </w:tc>
        <w:tc>
          <w:tcPr>
            <w:tcW w:w="1298" w:type="pct"/>
          </w:tcPr>
          <w:p w:rsidR="00A66D00" w:rsidRDefault="00571F88" w:rsidP="00AA5508">
            <w:r>
              <w:t>Hours/Parameters will be set up for year 2014</w:t>
            </w:r>
          </w:p>
        </w:tc>
        <w:tc>
          <w:tcPr>
            <w:tcW w:w="587" w:type="pct"/>
          </w:tcPr>
          <w:p w:rsidR="00A66D00" w:rsidRDefault="00A75C5F" w:rsidP="00AD4DB8">
            <w:r>
              <w:t>W</w:t>
            </w:r>
            <w:r w:rsidR="0098158C">
              <w:t>anda</w:t>
            </w:r>
            <w:r w:rsidR="00AD4DB8">
              <w:t xml:space="preserve"> Aldridge (I</w:t>
            </w:r>
            <w:r>
              <w:t>TS</w:t>
            </w:r>
            <w:r w:rsidR="00AD4DB8">
              <w:t>)</w:t>
            </w:r>
          </w:p>
        </w:tc>
      </w:tr>
      <w:tr w:rsidR="00A75C5F" w:rsidTr="00DB4CE1">
        <w:trPr>
          <w:trHeight w:val="728"/>
        </w:trPr>
        <w:tc>
          <w:tcPr>
            <w:tcW w:w="238" w:type="pct"/>
          </w:tcPr>
          <w:p w:rsidR="00A75C5F" w:rsidRDefault="00A75C5F" w:rsidP="003A3FA5">
            <w:pPr>
              <w:jc w:val="center"/>
            </w:pPr>
          </w:p>
        </w:tc>
        <w:tc>
          <w:tcPr>
            <w:tcW w:w="1169" w:type="pct"/>
            <w:shd w:val="clear" w:color="auto" w:fill="auto"/>
          </w:tcPr>
          <w:p w:rsidR="00A75C5F" w:rsidRDefault="00A75C5F" w:rsidP="003A3FA5">
            <w:r>
              <w:t>Extract File from EV5R for BP</w:t>
            </w:r>
          </w:p>
        </w:tc>
        <w:tc>
          <w:tcPr>
            <w:tcW w:w="1229" w:type="pct"/>
            <w:shd w:val="clear" w:color="auto" w:fill="auto"/>
          </w:tcPr>
          <w:p w:rsidR="00A75C5F" w:rsidRDefault="00CA2441" w:rsidP="003A3FA5">
            <w:r>
              <w:t>Files will be extracted from clone and placed in FTP folder for each institution to download.</w:t>
            </w:r>
          </w:p>
        </w:tc>
        <w:tc>
          <w:tcPr>
            <w:tcW w:w="479" w:type="pct"/>
            <w:shd w:val="clear" w:color="auto" w:fill="auto"/>
          </w:tcPr>
          <w:p w:rsidR="00A75C5F" w:rsidRDefault="00A75C5F" w:rsidP="00AA5508">
            <w:r>
              <w:t>Pass</w:t>
            </w:r>
          </w:p>
        </w:tc>
        <w:tc>
          <w:tcPr>
            <w:tcW w:w="1298" w:type="pct"/>
          </w:tcPr>
          <w:p w:rsidR="00A75C5F" w:rsidRDefault="00A75C5F" w:rsidP="00CA2441">
            <w:r>
              <w:t>This will be what institutions will use for UAT extract</w:t>
            </w:r>
            <w:r w:rsidR="00CA2441">
              <w:t xml:space="preserve">.  If they normally get these from HR/payroll, they will need to do </w:t>
            </w:r>
            <w:r w:rsidR="00CA2441">
              <w:lastRenderedPageBreak/>
              <w:t>this for UAT as well.</w:t>
            </w:r>
          </w:p>
        </w:tc>
        <w:tc>
          <w:tcPr>
            <w:tcW w:w="587" w:type="pct"/>
          </w:tcPr>
          <w:p w:rsidR="00A75C5F" w:rsidRDefault="00AD4DB8" w:rsidP="0098158C">
            <w:r>
              <w:lastRenderedPageBreak/>
              <w:t>Wanda Aldridge (ITS)</w:t>
            </w:r>
          </w:p>
        </w:tc>
      </w:tr>
      <w:tr w:rsidR="00DB4CE1" w:rsidTr="00DB4CE1">
        <w:trPr>
          <w:trHeight w:val="728"/>
        </w:trPr>
        <w:tc>
          <w:tcPr>
            <w:tcW w:w="238" w:type="pct"/>
          </w:tcPr>
          <w:p w:rsidR="00A66D00" w:rsidRDefault="00F42815" w:rsidP="003A3FA5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9" w:type="pct"/>
            <w:shd w:val="clear" w:color="auto" w:fill="auto"/>
          </w:tcPr>
          <w:p w:rsidR="00A75C5F" w:rsidRDefault="00A75C5F" w:rsidP="003A3FA5">
            <w:r>
              <w:t xml:space="preserve">Review </w:t>
            </w:r>
            <w:proofErr w:type="spellStart"/>
            <w:r>
              <w:t>Paygroup</w:t>
            </w:r>
            <w:proofErr w:type="spellEnd"/>
            <w:r>
              <w:t xml:space="preserve"> Raise Effective Date Parameters</w:t>
            </w:r>
          </w:p>
        </w:tc>
        <w:tc>
          <w:tcPr>
            <w:tcW w:w="1229" w:type="pct"/>
            <w:shd w:val="clear" w:color="auto" w:fill="auto"/>
          </w:tcPr>
          <w:p w:rsidR="00A66D00" w:rsidRDefault="00F42815" w:rsidP="003A3FA5">
            <w:r>
              <w:t>Access panel, verify data</w:t>
            </w:r>
            <w:r w:rsidR="00E94466">
              <w:t xml:space="preserve"> is there for your institution.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F42815" w:rsidP="003A3FA5">
            <w:pPr>
              <w:jc w:val="center"/>
            </w:pPr>
            <w:r>
              <w:t>2</w:t>
            </w:r>
          </w:p>
        </w:tc>
        <w:tc>
          <w:tcPr>
            <w:tcW w:w="1169" w:type="pct"/>
            <w:shd w:val="clear" w:color="auto" w:fill="auto"/>
          </w:tcPr>
          <w:p w:rsidR="00A66D00" w:rsidRDefault="00A75C5F" w:rsidP="003A3FA5">
            <w:r>
              <w:t>Review Fringe Accounts</w:t>
            </w:r>
          </w:p>
        </w:tc>
        <w:tc>
          <w:tcPr>
            <w:tcW w:w="1229" w:type="pct"/>
            <w:shd w:val="clear" w:color="auto" w:fill="auto"/>
          </w:tcPr>
          <w:p w:rsidR="00A66D00" w:rsidRDefault="00F42815" w:rsidP="003A3FA5">
            <w:r>
              <w:t>Access panel, verify data</w:t>
            </w:r>
            <w:r w:rsidR="00E94466">
              <w:t xml:space="preserve"> is there for your institution.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F42815" w:rsidP="003A3FA5">
            <w:pPr>
              <w:jc w:val="center"/>
            </w:pPr>
            <w:r>
              <w:t>3</w:t>
            </w:r>
          </w:p>
        </w:tc>
        <w:tc>
          <w:tcPr>
            <w:tcW w:w="1169" w:type="pct"/>
            <w:shd w:val="clear" w:color="auto" w:fill="auto"/>
          </w:tcPr>
          <w:p w:rsidR="00A66D00" w:rsidRDefault="00F42815" w:rsidP="003A3FA5">
            <w:r>
              <w:t>Reason Codes</w:t>
            </w:r>
          </w:p>
        </w:tc>
        <w:tc>
          <w:tcPr>
            <w:tcW w:w="1229" w:type="pct"/>
            <w:shd w:val="clear" w:color="auto" w:fill="auto"/>
          </w:tcPr>
          <w:p w:rsidR="00A66D00" w:rsidRDefault="00F42815" w:rsidP="003A3FA5">
            <w:r>
              <w:t xml:space="preserve">Access panel, verify </w:t>
            </w:r>
            <w:r w:rsidR="00E94466">
              <w:t>reason codes have defaulted.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F42815" w:rsidP="003A3FA5">
            <w:pPr>
              <w:jc w:val="center"/>
            </w:pPr>
            <w:r>
              <w:t>4</w:t>
            </w:r>
          </w:p>
        </w:tc>
        <w:tc>
          <w:tcPr>
            <w:tcW w:w="1169" w:type="pct"/>
            <w:shd w:val="clear" w:color="auto" w:fill="auto"/>
          </w:tcPr>
          <w:p w:rsidR="00A66D00" w:rsidRDefault="00F42815" w:rsidP="003A3FA5">
            <w:r>
              <w:t>HR/Payroll Extract/Load</w:t>
            </w:r>
          </w:p>
        </w:tc>
        <w:tc>
          <w:tcPr>
            <w:tcW w:w="1229" w:type="pct"/>
            <w:shd w:val="clear" w:color="auto" w:fill="auto"/>
          </w:tcPr>
          <w:p w:rsidR="00A66D00" w:rsidRDefault="00F42815" w:rsidP="00084EA3">
            <w:r>
              <w:t xml:space="preserve">Upload file, process to success, verify </w:t>
            </w:r>
            <w:r w:rsidR="00084EA3">
              <w:t># H</w:t>
            </w:r>
            <w:proofErr w:type="gramStart"/>
            <w:r w:rsidR="00084EA3">
              <w:t>,R,J,D</w:t>
            </w:r>
            <w:proofErr w:type="gramEnd"/>
            <w:r w:rsidR="00E94466">
              <w:t xml:space="preserve"> records on .</w:t>
            </w:r>
            <w:proofErr w:type="spellStart"/>
            <w:r w:rsidR="00E94466">
              <w:t>pdf</w:t>
            </w:r>
            <w:proofErr w:type="spellEnd"/>
            <w:r w:rsidR="00E94466">
              <w:t xml:space="preserve"> output</w:t>
            </w:r>
            <w:r w:rsidR="00084EA3">
              <w:t xml:space="preserve"> </w:t>
            </w:r>
            <w:r w:rsidR="00BF64CE">
              <w:t xml:space="preserve">in view log/trace </w:t>
            </w:r>
            <w:r w:rsidR="00084EA3">
              <w:t>to original File</w:t>
            </w:r>
            <w:r w:rsidR="00BF64CE">
              <w:t xml:space="preserve"> epoh009.txt file for # records</w:t>
            </w:r>
            <w:r w:rsidR="00084EA3"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F42815" w:rsidTr="00DB4CE1">
        <w:trPr>
          <w:trHeight w:val="728"/>
        </w:trPr>
        <w:tc>
          <w:tcPr>
            <w:tcW w:w="238" w:type="pct"/>
          </w:tcPr>
          <w:p w:rsidR="00F42815" w:rsidRDefault="00F42815" w:rsidP="003A3FA5">
            <w:pPr>
              <w:jc w:val="center"/>
            </w:pPr>
            <w:r>
              <w:t>5</w:t>
            </w:r>
          </w:p>
        </w:tc>
        <w:tc>
          <w:tcPr>
            <w:tcW w:w="1169" w:type="pct"/>
            <w:shd w:val="clear" w:color="auto" w:fill="auto"/>
          </w:tcPr>
          <w:p w:rsidR="00F42815" w:rsidRDefault="00F42815" w:rsidP="003A3FA5">
            <w:r>
              <w:t>Financials Extract</w:t>
            </w:r>
          </w:p>
        </w:tc>
        <w:tc>
          <w:tcPr>
            <w:tcW w:w="1229" w:type="pct"/>
            <w:shd w:val="clear" w:color="auto" w:fill="auto"/>
          </w:tcPr>
          <w:p w:rsidR="00F42815" w:rsidRDefault="00F42815" w:rsidP="003A3FA5">
            <w:r>
              <w:t>Process to success, verify extract</w:t>
            </w:r>
            <w:r w:rsidR="00BF64CE">
              <w:t xml:space="preserve"> data</w:t>
            </w:r>
          </w:p>
        </w:tc>
        <w:tc>
          <w:tcPr>
            <w:tcW w:w="479" w:type="pct"/>
            <w:shd w:val="clear" w:color="auto" w:fill="auto"/>
          </w:tcPr>
          <w:p w:rsidR="00F42815" w:rsidRDefault="00F42815" w:rsidP="00AA5508"/>
        </w:tc>
        <w:tc>
          <w:tcPr>
            <w:tcW w:w="1298" w:type="pct"/>
          </w:tcPr>
          <w:p w:rsidR="00F42815" w:rsidRDefault="00F42815" w:rsidP="00AA5508"/>
        </w:tc>
        <w:tc>
          <w:tcPr>
            <w:tcW w:w="587" w:type="pct"/>
          </w:tcPr>
          <w:p w:rsidR="00F42815" w:rsidRDefault="00F42815" w:rsidP="00AA5508"/>
        </w:tc>
      </w:tr>
      <w:tr w:rsidR="00F42815" w:rsidTr="00DB4CE1">
        <w:trPr>
          <w:trHeight w:val="728"/>
        </w:trPr>
        <w:tc>
          <w:tcPr>
            <w:tcW w:w="238" w:type="pct"/>
          </w:tcPr>
          <w:p w:rsidR="00F42815" w:rsidRDefault="00F42815" w:rsidP="003A3FA5">
            <w:pPr>
              <w:jc w:val="center"/>
            </w:pPr>
            <w:r>
              <w:lastRenderedPageBreak/>
              <w:t>6</w:t>
            </w:r>
          </w:p>
        </w:tc>
        <w:tc>
          <w:tcPr>
            <w:tcW w:w="1169" w:type="pct"/>
            <w:shd w:val="clear" w:color="auto" w:fill="auto"/>
          </w:tcPr>
          <w:p w:rsidR="00F42815" w:rsidRDefault="00F42815" w:rsidP="003A3FA5">
            <w:r>
              <w:t>Budget Copy to current version</w:t>
            </w:r>
          </w:p>
        </w:tc>
        <w:tc>
          <w:tcPr>
            <w:tcW w:w="1229" w:type="pct"/>
            <w:shd w:val="clear" w:color="auto" w:fill="auto"/>
          </w:tcPr>
          <w:p w:rsidR="00F42815" w:rsidRDefault="00F42815" w:rsidP="003A3FA5">
            <w:r>
              <w:t>Process runs successfully- 2 versions of budget</w:t>
            </w:r>
          </w:p>
        </w:tc>
        <w:tc>
          <w:tcPr>
            <w:tcW w:w="479" w:type="pct"/>
            <w:shd w:val="clear" w:color="auto" w:fill="auto"/>
          </w:tcPr>
          <w:p w:rsidR="00F42815" w:rsidRDefault="00F42815" w:rsidP="00AA5508"/>
        </w:tc>
        <w:tc>
          <w:tcPr>
            <w:tcW w:w="1298" w:type="pct"/>
          </w:tcPr>
          <w:p w:rsidR="00F42815" w:rsidRDefault="00F42815" w:rsidP="00AA5508"/>
        </w:tc>
        <w:tc>
          <w:tcPr>
            <w:tcW w:w="587" w:type="pct"/>
          </w:tcPr>
          <w:p w:rsidR="00F42815" w:rsidRDefault="00F42815" w:rsidP="00AA5508"/>
        </w:tc>
      </w:tr>
      <w:tr w:rsidR="00F42815" w:rsidTr="00DB4CE1">
        <w:trPr>
          <w:trHeight w:val="728"/>
        </w:trPr>
        <w:tc>
          <w:tcPr>
            <w:tcW w:w="238" w:type="pct"/>
          </w:tcPr>
          <w:p w:rsidR="00F42815" w:rsidRDefault="00F42815" w:rsidP="003A3FA5">
            <w:pPr>
              <w:jc w:val="center"/>
            </w:pPr>
            <w:r>
              <w:t>7</w:t>
            </w:r>
          </w:p>
        </w:tc>
        <w:tc>
          <w:tcPr>
            <w:tcW w:w="1169" w:type="pct"/>
            <w:shd w:val="clear" w:color="auto" w:fill="auto"/>
          </w:tcPr>
          <w:p w:rsidR="00F42815" w:rsidRDefault="00F42815" w:rsidP="003A3FA5">
            <w:r>
              <w:t xml:space="preserve">Update Personal Services- </w:t>
            </w:r>
          </w:p>
          <w:p w:rsidR="00F42815" w:rsidRDefault="00F42815" w:rsidP="00F42815">
            <w:pPr>
              <w:pStyle w:val="ListParagraph"/>
              <w:numPr>
                <w:ilvl w:val="0"/>
                <w:numId w:val="25"/>
              </w:numPr>
            </w:pPr>
            <w:r>
              <w:t>Give 12% raise</w:t>
            </w:r>
          </w:p>
          <w:p w:rsidR="00F42815" w:rsidRDefault="00F42815" w:rsidP="00F42815">
            <w:pPr>
              <w:pStyle w:val="ListParagraph"/>
              <w:numPr>
                <w:ilvl w:val="0"/>
                <w:numId w:val="25"/>
              </w:numPr>
            </w:pPr>
            <w:r>
              <w:t>Use reason code of your choice.</w:t>
            </w:r>
          </w:p>
          <w:p w:rsidR="00F42815" w:rsidRDefault="00F42815" w:rsidP="00F42815">
            <w:pPr>
              <w:pStyle w:val="ListParagraph"/>
              <w:numPr>
                <w:ilvl w:val="0"/>
                <w:numId w:val="25"/>
              </w:numPr>
            </w:pPr>
            <w:r>
              <w:t>Change raise eff</w:t>
            </w:r>
            <w:r w:rsidR="004316BF">
              <w:t>.</w:t>
            </w:r>
            <w:r>
              <w:t xml:space="preserve"> date to 7/1/2014</w:t>
            </w:r>
          </w:p>
        </w:tc>
        <w:tc>
          <w:tcPr>
            <w:tcW w:w="1229" w:type="pct"/>
            <w:shd w:val="clear" w:color="auto" w:fill="auto"/>
          </w:tcPr>
          <w:p w:rsidR="00F42815" w:rsidRDefault="00F42815" w:rsidP="003C535B">
            <w:r>
              <w:t>All fields will accept change</w:t>
            </w:r>
            <w:r w:rsidR="003C535B">
              <w:t xml:space="preserve"> and</w:t>
            </w:r>
            <w:r>
              <w:t xml:space="preserve"> proposed budget will change to proposed salary amount.</w:t>
            </w:r>
          </w:p>
          <w:p w:rsidR="00BF64CE" w:rsidRDefault="00BF64CE" w:rsidP="003C535B">
            <w:r w:rsidRPr="00BF64CE">
              <w:rPr>
                <w:color w:val="548DD4" w:themeColor="text2" w:themeTint="99"/>
              </w:rPr>
              <w:t>*Make note of Department and position to verify in reports later.</w:t>
            </w:r>
          </w:p>
        </w:tc>
        <w:tc>
          <w:tcPr>
            <w:tcW w:w="479" w:type="pct"/>
            <w:shd w:val="clear" w:color="auto" w:fill="auto"/>
          </w:tcPr>
          <w:p w:rsidR="00F42815" w:rsidRDefault="00F42815" w:rsidP="00AA5508"/>
        </w:tc>
        <w:tc>
          <w:tcPr>
            <w:tcW w:w="1298" w:type="pct"/>
          </w:tcPr>
          <w:p w:rsidR="00F42815" w:rsidRDefault="00F42815" w:rsidP="00AA5508"/>
        </w:tc>
        <w:tc>
          <w:tcPr>
            <w:tcW w:w="587" w:type="pct"/>
          </w:tcPr>
          <w:p w:rsidR="00F42815" w:rsidRDefault="00F42815" w:rsidP="00AA5508"/>
        </w:tc>
      </w:tr>
      <w:tr w:rsidR="003C535B" w:rsidTr="00DB4CE1">
        <w:trPr>
          <w:trHeight w:val="728"/>
        </w:trPr>
        <w:tc>
          <w:tcPr>
            <w:tcW w:w="238" w:type="pct"/>
          </w:tcPr>
          <w:p w:rsidR="003C535B" w:rsidRDefault="003C535B" w:rsidP="003A3FA5">
            <w:pPr>
              <w:jc w:val="center"/>
            </w:pPr>
            <w:r>
              <w:t>8</w:t>
            </w:r>
          </w:p>
        </w:tc>
        <w:tc>
          <w:tcPr>
            <w:tcW w:w="1169" w:type="pct"/>
            <w:shd w:val="clear" w:color="auto" w:fill="auto"/>
          </w:tcPr>
          <w:p w:rsidR="003C535B" w:rsidRDefault="003C535B" w:rsidP="003C535B">
            <w:r>
              <w:t>Update Personal Service- Split the distribution on one employee to 50/50 with another department including fringe.</w:t>
            </w:r>
          </w:p>
        </w:tc>
        <w:tc>
          <w:tcPr>
            <w:tcW w:w="1229" w:type="pct"/>
            <w:shd w:val="clear" w:color="auto" w:fill="auto"/>
          </w:tcPr>
          <w:p w:rsidR="003C535B" w:rsidRDefault="004316BF" w:rsidP="004316BF">
            <w:r>
              <w:t>The panel will save and s</w:t>
            </w:r>
            <w:r w:rsidR="003C535B">
              <w:t xml:space="preserve">alary and </w:t>
            </w:r>
            <w:r>
              <w:t>f</w:t>
            </w:r>
            <w:r w:rsidR="003C535B">
              <w:t>ringe amounts will be calculated based on a 50/50 split.</w:t>
            </w:r>
          </w:p>
          <w:p w:rsidR="00BF64CE" w:rsidRDefault="00BF64CE" w:rsidP="004316BF">
            <w:r w:rsidRPr="00B2477A">
              <w:rPr>
                <w:color w:val="548DD4" w:themeColor="text2" w:themeTint="99"/>
              </w:rPr>
              <w:t>*Make note of Department and position to verify in reports later.</w:t>
            </w:r>
          </w:p>
        </w:tc>
        <w:tc>
          <w:tcPr>
            <w:tcW w:w="479" w:type="pct"/>
            <w:shd w:val="clear" w:color="auto" w:fill="auto"/>
          </w:tcPr>
          <w:p w:rsidR="003C535B" w:rsidRDefault="003C535B" w:rsidP="00AA5508"/>
        </w:tc>
        <w:tc>
          <w:tcPr>
            <w:tcW w:w="1298" w:type="pct"/>
          </w:tcPr>
          <w:p w:rsidR="003C535B" w:rsidRDefault="003C535B" w:rsidP="00AA5508"/>
        </w:tc>
        <w:tc>
          <w:tcPr>
            <w:tcW w:w="587" w:type="pct"/>
          </w:tcPr>
          <w:p w:rsidR="003C535B" w:rsidRDefault="003C535B" w:rsidP="00AA5508"/>
        </w:tc>
      </w:tr>
      <w:tr w:rsidR="003C535B" w:rsidTr="00DB4CE1">
        <w:trPr>
          <w:trHeight w:val="728"/>
        </w:trPr>
        <w:tc>
          <w:tcPr>
            <w:tcW w:w="238" w:type="pct"/>
          </w:tcPr>
          <w:p w:rsidR="003C535B" w:rsidRDefault="003C535B" w:rsidP="003A3FA5">
            <w:pPr>
              <w:jc w:val="center"/>
            </w:pPr>
            <w:r>
              <w:t>9</w:t>
            </w:r>
          </w:p>
        </w:tc>
        <w:tc>
          <w:tcPr>
            <w:tcW w:w="1169" w:type="pct"/>
            <w:shd w:val="clear" w:color="auto" w:fill="auto"/>
          </w:tcPr>
          <w:p w:rsidR="003C535B" w:rsidRDefault="003C535B" w:rsidP="003C535B">
            <w:r>
              <w:t>Update Non-Personal Services-</w:t>
            </w:r>
          </w:p>
          <w:p w:rsidR="003C535B" w:rsidRDefault="003C535B" w:rsidP="003C535B">
            <w:r>
              <w:t xml:space="preserve">Increase a Departmental Budget Appropriation by </w:t>
            </w:r>
            <w:r>
              <w:lastRenderedPageBreak/>
              <w:t>$5</w:t>
            </w:r>
            <w:r w:rsidR="00CE4E4F">
              <w:t>,</w:t>
            </w:r>
            <w:r>
              <w:t>000</w:t>
            </w:r>
          </w:p>
        </w:tc>
        <w:tc>
          <w:tcPr>
            <w:tcW w:w="1229" w:type="pct"/>
            <w:shd w:val="clear" w:color="auto" w:fill="auto"/>
          </w:tcPr>
          <w:p w:rsidR="003C535B" w:rsidRDefault="003C535B" w:rsidP="003C535B">
            <w:r>
              <w:lastRenderedPageBreak/>
              <w:t>The panel will save and the Departmental Budget will be increased by $5</w:t>
            </w:r>
            <w:r w:rsidR="00CE4E4F">
              <w:t>,</w:t>
            </w:r>
            <w:r>
              <w:t>000.</w:t>
            </w:r>
          </w:p>
          <w:p w:rsidR="00472678" w:rsidRDefault="00472678" w:rsidP="00472678">
            <w:r w:rsidRPr="00B2477A">
              <w:rPr>
                <w:color w:val="548DD4" w:themeColor="text2" w:themeTint="99"/>
              </w:rPr>
              <w:lastRenderedPageBreak/>
              <w:t>*Make note of Department to verify in reports later.</w:t>
            </w:r>
          </w:p>
        </w:tc>
        <w:tc>
          <w:tcPr>
            <w:tcW w:w="479" w:type="pct"/>
            <w:shd w:val="clear" w:color="auto" w:fill="auto"/>
          </w:tcPr>
          <w:p w:rsidR="003C535B" w:rsidRDefault="003C535B" w:rsidP="00AA5508"/>
        </w:tc>
        <w:tc>
          <w:tcPr>
            <w:tcW w:w="1298" w:type="pct"/>
          </w:tcPr>
          <w:p w:rsidR="003C535B" w:rsidRDefault="003C535B" w:rsidP="00AA5508"/>
        </w:tc>
        <w:tc>
          <w:tcPr>
            <w:tcW w:w="587" w:type="pct"/>
          </w:tcPr>
          <w:p w:rsidR="003C535B" w:rsidRDefault="003C535B" w:rsidP="00AA5508"/>
        </w:tc>
      </w:tr>
      <w:tr w:rsidR="00CE4E4F" w:rsidTr="00DB4CE1">
        <w:trPr>
          <w:trHeight w:val="728"/>
        </w:trPr>
        <w:tc>
          <w:tcPr>
            <w:tcW w:w="238" w:type="pct"/>
          </w:tcPr>
          <w:p w:rsidR="00CE4E4F" w:rsidRDefault="00CE4E4F" w:rsidP="003A3FA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69" w:type="pct"/>
            <w:shd w:val="clear" w:color="auto" w:fill="auto"/>
          </w:tcPr>
          <w:p w:rsidR="00CE4E4F" w:rsidRDefault="00CE4E4F" w:rsidP="003C535B">
            <w:r>
              <w:t>Add a new Revenue Budget to Fund 10600 for $5,000.</w:t>
            </w:r>
          </w:p>
        </w:tc>
        <w:tc>
          <w:tcPr>
            <w:tcW w:w="1229" w:type="pct"/>
            <w:shd w:val="clear" w:color="auto" w:fill="auto"/>
          </w:tcPr>
          <w:p w:rsidR="00CE4E4F" w:rsidRDefault="00CE4E4F" w:rsidP="003C535B">
            <w:r>
              <w:t>The panel will save and revenue budgets will increase by $5,000</w:t>
            </w:r>
          </w:p>
          <w:p w:rsidR="00472678" w:rsidRDefault="00472678" w:rsidP="00472678">
            <w:r w:rsidRPr="00B2477A">
              <w:rPr>
                <w:color w:val="548DD4" w:themeColor="text2" w:themeTint="99"/>
              </w:rPr>
              <w:t xml:space="preserve">*Make note of </w:t>
            </w:r>
            <w:r>
              <w:rPr>
                <w:color w:val="548DD4" w:themeColor="text2" w:themeTint="99"/>
              </w:rPr>
              <w:t>Chart field</w:t>
            </w:r>
            <w:r w:rsidRPr="00B2477A">
              <w:rPr>
                <w:color w:val="548DD4" w:themeColor="text2" w:themeTint="99"/>
              </w:rPr>
              <w:t xml:space="preserve"> to verify in reports later.</w:t>
            </w:r>
          </w:p>
        </w:tc>
        <w:tc>
          <w:tcPr>
            <w:tcW w:w="479" w:type="pct"/>
            <w:shd w:val="clear" w:color="auto" w:fill="auto"/>
          </w:tcPr>
          <w:p w:rsidR="00CE4E4F" w:rsidRDefault="00CE4E4F" w:rsidP="00AA5508"/>
        </w:tc>
        <w:tc>
          <w:tcPr>
            <w:tcW w:w="1298" w:type="pct"/>
          </w:tcPr>
          <w:p w:rsidR="00CE4E4F" w:rsidRDefault="00CE4E4F" w:rsidP="00AA5508"/>
        </w:tc>
        <w:tc>
          <w:tcPr>
            <w:tcW w:w="587" w:type="pct"/>
          </w:tcPr>
          <w:p w:rsidR="00CE4E4F" w:rsidRDefault="00CE4E4F" w:rsidP="00AA5508"/>
        </w:tc>
      </w:tr>
      <w:tr w:rsidR="003C535B" w:rsidTr="00DB4CE1">
        <w:trPr>
          <w:trHeight w:val="728"/>
        </w:trPr>
        <w:tc>
          <w:tcPr>
            <w:tcW w:w="238" w:type="pct"/>
          </w:tcPr>
          <w:p w:rsidR="003C535B" w:rsidRDefault="003C535B" w:rsidP="00CE4E4F">
            <w:pPr>
              <w:jc w:val="center"/>
            </w:pPr>
            <w:r>
              <w:t>1</w:t>
            </w:r>
            <w:r w:rsidR="00CE4E4F">
              <w:t>1</w:t>
            </w:r>
          </w:p>
        </w:tc>
        <w:tc>
          <w:tcPr>
            <w:tcW w:w="1169" w:type="pct"/>
            <w:shd w:val="clear" w:color="auto" w:fill="auto"/>
          </w:tcPr>
          <w:p w:rsidR="003C535B" w:rsidRDefault="003C535B" w:rsidP="003C535B">
            <w:r>
              <w:t>Update Grant Budget- Increase a Grant Budget by $1000</w:t>
            </w:r>
          </w:p>
        </w:tc>
        <w:tc>
          <w:tcPr>
            <w:tcW w:w="1229" w:type="pct"/>
            <w:shd w:val="clear" w:color="auto" w:fill="auto"/>
          </w:tcPr>
          <w:p w:rsidR="003C535B" w:rsidRDefault="003C535B" w:rsidP="003C535B">
            <w:r>
              <w:t>The panel will save and the Grant budget will be increased by $1000.</w:t>
            </w:r>
          </w:p>
          <w:p w:rsidR="00472678" w:rsidRDefault="00472678" w:rsidP="00472678">
            <w:r w:rsidRPr="00B2477A">
              <w:rPr>
                <w:color w:val="548DD4" w:themeColor="text2" w:themeTint="99"/>
              </w:rPr>
              <w:t xml:space="preserve">*Make note of </w:t>
            </w:r>
            <w:r>
              <w:rPr>
                <w:color w:val="548DD4" w:themeColor="text2" w:themeTint="99"/>
              </w:rPr>
              <w:t>Grant</w:t>
            </w:r>
            <w:r w:rsidRPr="00B2477A">
              <w:rPr>
                <w:color w:val="548DD4" w:themeColor="text2" w:themeTint="99"/>
              </w:rPr>
              <w:t xml:space="preserve"> to verify in reports later.</w:t>
            </w:r>
          </w:p>
        </w:tc>
        <w:tc>
          <w:tcPr>
            <w:tcW w:w="479" w:type="pct"/>
            <w:shd w:val="clear" w:color="auto" w:fill="auto"/>
          </w:tcPr>
          <w:p w:rsidR="003C535B" w:rsidRDefault="003C535B" w:rsidP="00AA5508"/>
        </w:tc>
        <w:tc>
          <w:tcPr>
            <w:tcW w:w="1298" w:type="pct"/>
          </w:tcPr>
          <w:p w:rsidR="003C535B" w:rsidRDefault="003C535B" w:rsidP="00AA5508"/>
        </w:tc>
        <w:tc>
          <w:tcPr>
            <w:tcW w:w="587" w:type="pct"/>
          </w:tcPr>
          <w:p w:rsidR="003C535B" w:rsidRDefault="003C535B" w:rsidP="00AA5508"/>
        </w:tc>
      </w:tr>
      <w:tr w:rsidR="003C535B" w:rsidTr="00DB4CE1">
        <w:trPr>
          <w:trHeight w:val="728"/>
        </w:trPr>
        <w:tc>
          <w:tcPr>
            <w:tcW w:w="238" w:type="pct"/>
          </w:tcPr>
          <w:p w:rsidR="003C535B" w:rsidRDefault="003C535B" w:rsidP="00CE4E4F">
            <w:pPr>
              <w:jc w:val="center"/>
            </w:pPr>
            <w:r>
              <w:t>1</w:t>
            </w:r>
            <w:r w:rsidR="00CE4E4F">
              <w:t>2</w:t>
            </w:r>
          </w:p>
        </w:tc>
        <w:tc>
          <w:tcPr>
            <w:tcW w:w="1169" w:type="pct"/>
            <w:shd w:val="clear" w:color="auto" w:fill="auto"/>
          </w:tcPr>
          <w:p w:rsidR="003C535B" w:rsidRDefault="003C535B" w:rsidP="003C535B">
            <w:r>
              <w:t xml:space="preserve">Verify Inquire panels: Aggregate Details, </w:t>
            </w:r>
            <w:r w:rsidR="004316BF">
              <w:t>Personal Services, Non-Personal Services, Grant Budget</w:t>
            </w:r>
          </w:p>
        </w:tc>
        <w:tc>
          <w:tcPr>
            <w:tcW w:w="1229" w:type="pct"/>
            <w:shd w:val="clear" w:color="auto" w:fill="auto"/>
          </w:tcPr>
          <w:p w:rsidR="003C535B" w:rsidRDefault="004316BF" w:rsidP="003C535B">
            <w:r>
              <w:t>The Panels should be available.</w:t>
            </w:r>
          </w:p>
        </w:tc>
        <w:tc>
          <w:tcPr>
            <w:tcW w:w="479" w:type="pct"/>
            <w:shd w:val="clear" w:color="auto" w:fill="auto"/>
          </w:tcPr>
          <w:p w:rsidR="003C535B" w:rsidRDefault="003C535B" w:rsidP="00AA5508"/>
        </w:tc>
        <w:tc>
          <w:tcPr>
            <w:tcW w:w="1298" w:type="pct"/>
          </w:tcPr>
          <w:p w:rsidR="003C535B" w:rsidRDefault="003C535B" w:rsidP="00AA5508"/>
        </w:tc>
        <w:tc>
          <w:tcPr>
            <w:tcW w:w="587" w:type="pct"/>
          </w:tcPr>
          <w:p w:rsidR="003C535B" w:rsidRDefault="003C535B" w:rsidP="00AA5508"/>
        </w:tc>
      </w:tr>
      <w:tr w:rsidR="00472678" w:rsidTr="00DB4CE1">
        <w:trPr>
          <w:trHeight w:val="728"/>
        </w:trPr>
        <w:tc>
          <w:tcPr>
            <w:tcW w:w="238" w:type="pct"/>
          </w:tcPr>
          <w:p w:rsidR="00472678" w:rsidRDefault="00472678" w:rsidP="00CE4E4F">
            <w:pPr>
              <w:jc w:val="center"/>
            </w:pPr>
          </w:p>
        </w:tc>
        <w:tc>
          <w:tcPr>
            <w:tcW w:w="1169" w:type="pct"/>
            <w:shd w:val="clear" w:color="auto" w:fill="auto"/>
          </w:tcPr>
          <w:p w:rsidR="00472678" w:rsidRDefault="00472678" w:rsidP="001C7263"/>
        </w:tc>
        <w:tc>
          <w:tcPr>
            <w:tcW w:w="1229" w:type="pct"/>
            <w:shd w:val="clear" w:color="auto" w:fill="auto"/>
          </w:tcPr>
          <w:p w:rsidR="00472678" w:rsidRDefault="00472678" w:rsidP="003C535B"/>
        </w:tc>
        <w:tc>
          <w:tcPr>
            <w:tcW w:w="479" w:type="pct"/>
            <w:shd w:val="clear" w:color="auto" w:fill="auto"/>
          </w:tcPr>
          <w:p w:rsidR="00472678" w:rsidRDefault="00472678" w:rsidP="00AA5508"/>
        </w:tc>
        <w:tc>
          <w:tcPr>
            <w:tcW w:w="1298" w:type="pct"/>
          </w:tcPr>
          <w:p w:rsidR="00472678" w:rsidRDefault="00472678" w:rsidP="00AA5508"/>
        </w:tc>
        <w:tc>
          <w:tcPr>
            <w:tcW w:w="587" w:type="pct"/>
          </w:tcPr>
          <w:p w:rsidR="00472678" w:rsidRDefault="00472678" w:rsidP="00AA5508"/>
        </w:tc>
      </w:tr>
      <w:tr w:rsidR="001C7263" w:rsidTr="00DB4CE1">
        <w:trPr>
          <w:trHeight w:val="728"/>
        </w:trPr>
        <w:tc>
          <w:tcPr>
            <w:tcW w:w="238" w:type="pct"/>
          </w:tcPr>
          <w:p w:rsidR="001C7263" w:rsidRDefault="001C7263" w:rsidP="00CE4E4F">
            <w:pPr>
              <w:jc w:val="center"/>
            </w:pPr>
            <w:r>
              <w:lastRenderedPageBreak/>
              <w:t>1</w:t>
            </w:r>
            <w:r w:rsidR="00CE4E4F">
              <w:t>3</w:t>
            </w:r>
          </w:p>
        </w:tc>
        <w:tc>
          <w:tcPr>
            <w:tcW w:w="1169" w:type="pct"/>
            <w:shd w:val="clear" w:color="auto" w:fill="auto"/>
          </w:tcPr>
          <w:p w:rsidR="001C7263" w:rsidRDefault="001C7263" w:rsidP="001C7263">
            <w:r>
              <w:t>Run Fringe Generate</w:t>
            </w:r>
          </w:p>
        </w:tc>
        <w:tc>
          <w:tcPr>
            <w:tcW w:w="1229" w:type="pct"/>
            <w:shd w:val="clear" w:color="auto" w:fill="auto"/>
          </w:tcPr>
          <w:p w:rsidR="001C7263" w:rsidRDefault="001C7263" w:rsidP="003C535B">
            <w:r>
              <w:t>The process should run to success.</w:t>
            </w:r>
          </w:p>
        </w:tc>
        <w:tc>
          <w:tcPr>
            <w:tcW w:w="479" w:type="pct"/>
            <w:shd w:val="clear" w:color="auto" w:fill="auto"/>
          </w:tcPr>
          <w:p w:rsidR="001C7263" w:rsidRDefault="001C7263" w:rsidP="00AA5508"/>
        </w:tc>
        <w:tc>
          <w:tcPr>
            <w:tcW w:w="1298" w:type="pct"/>
          </w:tcPr>
          <w:p w:rsidR="001C7263" w:rsidRDefault="001C7263" w:rsidP="00AA5508"/>
        </w:tc>
        <w:tc>
          <w:tcPr>
            <w:tcW w:w="587" w:type="pct"/>
          </w:tcPr>
          <w:p w:rsidR="001C7263" w:rsidRDefault="001C7263" w:rsidP="00AA5508"/>
        </w:tc>
      </w:tr>
      <w:tr w:rsidR="001C7263" w:rsidTr="00DB4CE1">
        <w:trPr>
          <w:trHeight w:val="728"/>
        </w:trPr>
        <w:tc>
          <w:tcPr>
            <w:tcW w:w="238" w:type="pct"/>
          </w:tcPr>
          <w:p w:rsidR="001C7263" w:rsidRDefault="001C7263" w:rsidP="00CE4E4F">
            <w:pPr>
              <w:jc w:val="center"/>
            </w:pPr>
            <w:r>
              <w:t>1</w:t>
            </w:r>
            <w:r w:rsidR="00CE4E4F">
              <w:t>4</w:t>
            </w:r>
          </w:p>
        </w:tc>
        <w:tc>
          <w:tcPr>
            <w:tcW w:w="1169" w:type="pct"/>
            <w:shd w:val="clear" w:color="auto" w:fill="auto"/>
          </w:tcPr>
          <w:p w:rsidR="001C7263" w:rsidRDefault="001C7263" w:rsidP="003C535B">
            <w:r>
              <w:t>Run the Build Financials</w:t>
            </w:r>
          </w:p>
        </w:tc>
        <w:tc>
          <w:tcPr>
            <w:tcW w:w="1229" w:type="pct"/>
            <w:shd w:val="clear" w:color="auto" w:fill="auto"/>
          </w:tcPr>
          <w:p w:rsidR="001C7263" w:rsidRDefault="001C7263" w:rsidP="00712EE9">
            <w:r>
              <w:t>The process should run to success.</w:t>
            </w:r>
          </w:p>
        </w:tc>
        <w:tc>
          <w:tcPr>
            <w:tcW w:w="479" w:type="pct"/>
            <w:shd w:val="clear" w:color="auto" w:fill="auto"/>
          </w:tcPr>
          <w:p w:rsidR="001C7263" w:rsidRDefault="001C7263" w:rsidP="00AA5508"/>
        </w:tc>
        <w:tc>
          <w:tcPr>
            <w:tcW w:w="1298" w:type="pct"/>
          </w:tcPr>
          <w:p w:rsidR="001C7263" w:rsidRDefault="001C7263" w:rsidP="00AA5508"/>
        </w:tc>
        <w:tc>
          <w:tcPr>
            <w:tcW w:w="587" w:type="pct"/>
          </w:tcPr>
          <w:p w:rsidR="001C7263" w:rsidRDefault="001C7263" w:rsidP="00AA5508"/>
        </w:tc>
      </w:tr>
      <w:tr w:rsidR="001C7263" w:rsidTr="00DB4CE1">
        <w:trPr>
          <w:trHeight w:val="728"/>
        </w:trPr>
        <w:tc>
          <w:tcPr>
            <w:tcW w:w="238" w:type="pct"/>
          </w:tcPr>
          <w:p w:rsidR="001C7263" w:rsidRDefault="001C7263" w:rsidP="00CE4E4F">
            <w:pPr>
              <w:jc w:val="center"/>
            </w:pPr>
            <w:r>
              <w:t>1</w:t>
            </w:r>
            <w:r w:rsidR="00CE4E4F">
              <w:t>5</w:t>
            </w:r>
          </w:p>
        </w:tc>
        <w:tc>
          <w:tcPr>
            <w:tcW w:w="1169" w:type="pct"/>
            <w:shd w:val="clear" w:color="auto" w:fill="auto"/>
          </w:tcPr>
          <w:p w:rsidR="001C7263" w:rsidRDefault="001C7263" w:rsidP="003C535B">
            <w:r>
              <w:t>Update Fringe online- Update a Personal Services Fringe and Lock it.</w:t>
            </w:r>
          </w:p>
        </w:tc>
        <w:tc>
          <w:tcPr>
            <w:tcW w:w="1229" w:type="pct"/>
            <w:shd w:val="clear" w:color="auto" w:fill="auto"/>
          </w:tcPr>
          <w:p w:rsidR="001C7263" w:rsidRDefault="001C7263" w:rsidP="003C535B">
            <w:r>
              <w:t>The panel should save.</w:t>
            </w:r>
          </w:p>
          <w:p w:rsidR="00302D0E" w:rsidRDefault="00302D0E" w:rsidP="003C535B">
            <w:r w:rsidRPr="00B2477A">
              <w:rPr>
                <w:color w:val="548DD4" w:themeColor="text2" w:themeTint="99"/>
              </w:rPr>
              <w:t>*Make note of Department and position to verify in reports later.</w:t>
            </w:r>
          </w:p>
        </w:tc>
        <w:tc>
          <w:tcPr>
            <w:tcW w:w="479" w:type="pct"/>
            <w:shd w:val="clear" w:color="auto" w:fill="auto"/>
          </w:tcPr>
          <w:p w:rsidR="001C7263" w:rsidRDefault="001C7263" w:rsidP="00AA5508"/>
        </w:tc>
        <w:tc>
          <w:tcPr>
            <w:tcW w:w="1298" w:type="pct"/>
          </w:tcPr>
          <w:p w:rsidR="001C7263" w:rsidRDefault="001C7263" w:rsidP="00AA5508"/>
        </w:tc>
        <w:tc>
          <w:tcPr>
            <w:tcW w:w="587" w:type="pct"/>
          </w:tcPr>
          <w:p w:rsidR="001C7263" w:rsidRDefault="001C7263" w:rsidP="00AA5508"/>
        </w:tc>
      </w:tr>
      <w:tr w:rsidR="0098158C" w:rsidTr="00DB4CE1">
        <w:trPr>
          <w:trHeight w:val="728"/>
        </w:trPr>
        <w:tc>
          <w:tcPr>
            <w:tcW w:w="238" w:type="pct"/>
          </w:tcPr>
          <w:p w:rsidR="0098158C" w:rsidRDefault="0098158C" w:rsidP="00CE4E4F">
            <w:pPr>
              <w:jc w:val="center"/>
            </w:pPr>
          </w:p>
        </w:tc>
        <w:tc>
          <w:tcPr>
            <w:tcW w:w="1169" w:type="pct"/>
            <w:shd w:val="clear" w:color="auto" w:fill="auto"/>
          </w:tcPr>
          <w:p w:rsidR="0098158C" w:rsidRDefault="0098158C" w:rsidP="003C535B">
            <w:r>
              <w:t>You’ll need to run Fringe and Build on this department from exercise #15</w:t>
            </w:r>
          </w:p>
        </w:tc>
        <w:tc>
          <w:tcPr>
            <w:tcW w:w="1229" w:type="pct"/>
            <w:shd w:val="clear" w:color="auto" w:fill="auto"/>
          </w:tcPr>
          <w:p w:rsidR="0098158C" w:rsidRDefault="0098158C" w:rsidP="003C535B">
            <w:r>
              <w:t>The processes should run to success.</w:t>
            </w:r>
          </w:p>
        </w:tc>
        <w:tc>
          <w:tcPr>
            <w:tcW w:w="479" w:type="pct"/>
            <w:shd w:val="clear" w:color="auto" w:fill="auto"/>
          </w:tcPr>
          <w:p w:rsidR="0098158C" w:rsidRDefault="0098158C" w:rsidP="00AA5508"/>
        </w:tc>
        <w:tc>
          <w:tcPr>
            <w:tcW w:w="1298" w:type="pct"/>
          </w:tcPr>
          <w:p w:rsidR="0098158C" w:rsidRDefault="0098158C" w:rsidP="00AA5508"/>
        </w:tc>
        <w:tc>
          <w:tcPr>
            <w:tcW w:w="587" w:type="pct"/>
          </w:tcPr>
          <w:p w:rsidR="0098158C" w:rsidRDefault="0098158C"/>
        </w:tc>
      </w:tr>
      <w:tr w:rsidR="0098158C" w:rsidTr="00DB4CE1">
        <w:trPr>
          <w:trHeight w:val="728"/>
        </w:trPr>
        <w:tc>
          <w:tcPr>
            <w:tcW w:w="238" w:type="pct"/>
          </w:tcPr>
          <w:p w:rsidR="0098158C" w:rsidRDefault="0098158C" w:rsidP="00CE4E4F">
            <w:pPr>
              <w:jc w:val="center"/>
            </w:pPr>
            <w:r>
              <w:t>16</w:t>
            </w:r>
          </w:p>
        </w:tc>
        <w:tc>
          <w:tcPr>
            <w:tcW w:w="1169" w:type="pct"/>
            <w:shd w:val="clear" w:color="auto" w:fill="auto"/>
          </w:tcPr>
          <w:p w:rsidR="0098158C" w:rsidRDefault="0098158C" w:rsidP="003C535B">
            <w:r>
              <w:t>Run Schedule C</w:t>
            </w:r>
          </w:p>
        </w:tc>
        <w:tc>
          <w:tcPr>
            <w:tcW w:w="1229" w:type="pct"/>
            <w:shd w:val="clear" w:color="auto" w:fill="auto"/>
          </w:tcPr>
          <w:p w:rsidR="0098158C" w:rsidRDefault="0098158C" w:rsidP="003C535B">
            <w:r>
              <w:t>Report will run to success, File will be in Log/Trace.</w:t>
            </w:r>
          </w:p>
        </w:tc>
        <w:tc>
          <w:tcPr>
            <w:tcW w:w="479" w:type="pct"/>
            <w:shd w:val="clear" w:color="auto" w:fill="auto"/>
          </w:tcPr>
          <w:p w:rsidR="0098158C" w:rsidRDefault="0098158C" w:rsidP="00AA5508"/>
        </w:tc>
        <w:tc>
          <w:tcPr>
            <w:tcW w:w="1298" w:type="pct"/>
          </w:tcPr>
          <w:p w:rsidR="0098158C" w:rsidRDefault="0098158C" w:rsidP="00AA5508"/>
        </w:tc>
        <w:tc>
          <w:tcPr>
            <w:tcW w:w="587" w:type="pct"/>
          </w:tcPr>
          <w:p w:rsidR="0098158C" w:rsidRDefault="0098158C"/>
        </w:tc>
      </w:tr>
      <w:tr w:rsidR="004F655C" w:rsidTr="00DB4CE1">
        <w:trPr>
          <w:trHeight w:val="728"/>
        </w:trPr>
        <w:tc>
          <w:tcPr>
            <w:tcW w:w="238" w:type="pct"/>
          </w:tcPr>
          <w:p w:rsidR="004F655C" w:rsidRDefault="004F655C" w:rsidP="00CE4E4F">
            <w:pPr>
              <w:jc w:val="center"/>
            </w:pPr>
            <w:r>
              <w:t>1</w:t>
            </w:r>
            <w:r w:rsidR="00CE4E4F">
              <w:t>7</w:t>
            </w:r>
          </w:p>
        </w:tc>
        <w:tc>
          <w:tcPr>
            <w:tcW w:w="1169" w:type="pct"/>
            <w:shd w:val="clear" w:color="auto" w:fill="auto"/>
          </w:tcPr>
          <w:p w:rsidR="004F655C" w:rsidRDefault="004F655C" w:rsidP="003C535B">
            <w:r>
              <w:t>Run Schedule D</w:t>
            </w:r>
          </w:p>
        </w:tc>
        <w:tc>
          <w:tcPr>
            <w:tcW w:w="1229" w:type="pct"/>
            <w:shd w:val="clear" w:color="auto" w:fill="auto"/>
          </w:tcPr>
          <w:p w:rsidR="004F655C" w:rsidRDefault="004F655C" w:rsidP="00712EE9">
            <w:r>
              <w:t>Report will run to success, File will be in Log/Trace.</w:t>
            </w:r>
          </w:p>
        </w:tc>
        <w:tc>
          <w:tcPr>
            <w:tcW w:w="479" w:type="pct"/>
            <w:shd w:val="clear" w:color="auto" w:fill="auto"/>
          </w:tcPr>
          <w:p w:rsidR="004F655C" w:rsidRDefault="004F655C" w:rsidP="00AA5508"/>
        </w:tc>
        <w:tc>
          <w:tcPr>
            <w:tcW w:w="1298" w:type="pct"/>
          </w:tcPr>
          <w:p w:rsidR="004F655C" w:rsidRDefault="004F655C" w:rsidP="00AA5508"/>
        </w:tc>
        <w:tc>
          <w:tcPr>
            <w:tcW w:w="587" w:type="pct"/>
          </w:tcPr>
          <w:p w:rsidR="004F655C" w:rsidRDefault="004F655C" w:rsidP="00AA5508"/>
        </w:tc>
      </w:tr>
      <w:tr w:rsidR="0098158C" w:rsidTr="00DB4CE1">
        <w:trPr>
          <w:trHeight w:val="728"/>
        </w:trPr>
        <w:tc>
          <w:tcPr>
            <w:tcW w:w="238" w:type="pct"/>
          </w:tcPr>
          <w:p w:rsidR="0098158C" w:rsidRDefault="0098158C" w:rsidP="00CE4E4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69" w:type="pct"/>
            <w:shd w:val="clear" w:color="auto" w:fill="auto"/>
          </w:tcPr>
          <w:p w:rsidR="0098158C" w:rsidRDefault="0098158C" w:rsidP="003C535B">
            <w:r>
              <w:t>Run Schedule E</w:t>
            </w:r>
          </w:p>
        </w:tc>
        <w:tc>
          <w:tcPr>
            <w:tcW w:w="1229" w:type="pct"/>
            <w:shd w:val="clear" w:color="auto" w:fill="auto"/>
          </w:tcPr>
          <w:p w:rsidR="0098158C" w:rsidRDefault="0098158C" w:rsidP="00712EE9">
            <w:r>
              <w:t>Report will run to success, File will be in Log/Trace.</w:t>
            </w:r>
          </w:p>
        </w:tc>
        <w:tc>
          <w:tcPr>
            <w:tcW w:w="479" w:type="pct"/>
            <w:shd w:val="clear" w:color="auto" w:fill="auto"/>
          </w:tcPr>
          <w:p w:rsidR="0098158C" w:rsidRDefault="0098158C" w:rsidP="00AA5508"/>
        </w:tc>
        <w:tc>
          <w:tcPr>
            <w:tcW w:w="1298" w:type="pct"/>
          </w:tcPr>
          <w:p w:rsidR="0098158C" w:rsidRDefault="0098158C" w:rsidP="00AA5508"/>
        </w:tc>
        <w:tc>
          <w:tcPr>
            <w:tcW w:w="587" w:type="pct"/>
          </w:tcPr>
          <w:p w:rsidR="0098158C" w:rsidRDefault="0098158C"/>
        </w:tc>
      </w:tr>
      <w:tr w:rsidR="0098158C" w:rsidTr="00DB4CE1">
        <w:trPr>
          <w:trHeight w:val="728"/>
        </w:trPr>
        <w:tc>
          <w:tcPr>
            <w:tcW w:w="238" w:type="pct"/>
          </w:tcPr>
          <w:p w:rsidR="0098158C" w:rsidRDefault="0098158C" w:rsidP="00CE4E4F">
            <w:pPr>
              <w:jc w:val="center"/>
            </w:pPr>
            <w:r>
              <w:t>19</w:t>
            </w:r>
          </w:p>
        </w:tc>
        <w:tc>
          <w:tcPr>
            <w:tcW w:w="1169" w:type="pct"/>
            <w:shd w:val="clear" w:color="auto" w:fill="auto"/>
          </w:tcPr>
          <w:p w:rsidR="0098158C" w:rsidRDefault="0098158C" w:rsidP="003C535B">
            <w:r>
              <w:t>Run Schedule G-1</w:t>
            </w:r>
          </w:p>
        </w:tc>
        <w:tc>
          <w:tcPr>
            <w:tcW w:w="1229" w:type="pct"/>
            <w:shd w:val="clear" w:color="auto" w:fill="auto"/>
          </w:tcPr>
          <w:p w:rsidR="0098158C" w:rsidRDefault="0098158C" w:rsidP="00472678">
            <w:r>
              <w:t>Report will run to success, File will be in Log/Trace.  Validate data in exercises in Steps 7-11 and Step 15.</w:t>
            </w:r>
          </w:p>
        </w:tc>
        <w:tc>
          <w:tcPr>
            <w:tcW w:w="479" w:type="pct"/>
            <w:shd w:val="clear" w:color="auto" w:fill="auto"/>
          </w:tcPr>
          <w:p w:rsidR="0098158C" w:rsidRDefault="0098158C" w:rsidP="00AA5508"/>
        </w:tc>
        <w:tc>
          <w:tcPr>
            <w:tcW w:w="1298" w:type="pct"/>
          </w:tcPr>
          <w:p w:rsidR="0098158C" w:rsidRDefault="0098158C" w:rsidP="00AA5508"/>
        </w:tc>
        <w:tc>
          <w:tcPr>
            <w:tcW w:w="587" w:type="pct"/>
          </w:tcPr>
          <w:p w:rsidR="0098158C" w:rsidRDefault="0098158C"/>
        </w:tc>
      </w:tr>
      <w:tr w:rsidR="0098158C" w:rsidTr="00DB4CE1">
        <w:trPr>
          <w:trHeight w:val="728"/>
        </w:trPr>
        <w:tc>
          <w:tcPr>
            <w:tcW w:w="238" w:type="pct"/>
          </w:tcPr>
          <w:p w:rsidR="0098158C" w:rsidRDefault="0098158C" w:rsidP="003A3FA5">
            <w:pPr>
              <w:jc w:val="center"/>
            </w:pPr>
            <w:r>
              <w:t>20</w:t>
            </w:r>
          </w:p>
        </w:tc>
        <w:tc>
          <w:tcPr>
            <w:tcW w:w="1169" w:type="pct"/>
            <w:shd w:val="clear" w:color="auto" w:fill="auto"/>
          </w:tcPr>
          <w:p w:rsidR="0098158C" w:rsidRDefault="0098158C" w:rsidP="003C535B">
            <w:r>
              <w:t>Run Schedule K</w:t>
            </w:r>
          </w:p>
        </w:tc>
        <w:tc>
          <w:tcPr>
            <w:tcW w:w="1229" w:type="pct"/>
            <w:shd w:val="clear" w:color="auto" w:fill="auto"/>
          </w:tcPr>
          <w:p w:rsidR="0098158C" w:rsidRDefault="0098158C" w:rsidP="00712EE9">
            <w:r>
              <w:t>Report will run to success, File will be in Log/Trace.</w:t>
            </w:r>
          </w:p>
        </w:tc>
        <w:tc>
          <w:tcPr>
            <w:tcW w:w="479" w:type="pct"/>
            <w:shd w:val="clear" w:color="auto" w:fill="auto"/>
          </w:tcPr>
          <w:p w:rsidR="0098158C" w:rsidRDefault="0098158C" w:rsidP="00AA5508"/>
        </w:tc>
        <w:tc>
          <w:tcPr>
            <w:tcW w:w="1298" w:type="pct"/>
          </w:tcPr>
          <w:p w:rsidR="0098158C" w:rsidRDefault="0098158C" w:rsidP="00AA5508"/>
        </w:tc>
        <w:tc>
          <w:tcPr>
            <w:tcW w:w="587" w:type="pct"/>
          </w:tcPr>
          <w:p w:rsidR="0098158C" w:rsidRDefault="0098158C"/>
        </w:tc>
      </w:tr>
      <w:tr w:rsidR="0098158C" w:rsidTr="00DB4CE1">
        <w:trPr>
          <w:trHeight w:val="728"/>
        </w:trPr>
        <w:tc>
          <w:tcPr>
            <w:tcW w:w="238" w:type="pct"/>
          </w:tcPr>
          <w:p w:rsidR="0098158C" w:rsidRDefault="0098158C" w:rsidP="00CE4E4F">
            <w:pPr>
              <w:jc w:val="center"/>
            </w:pPr>
            <w:r>
              <w:t>21</w:t>
            </w:r>
          </w:p>
        </w:tc>
        <w:tc>
          <w:tcPr>
            <w:tcW w:w="1169" w:type="pct"/>
            <w:shd w:val="clear" w:color="auto" w:fill="auto"/>
          </w:tcPr>
          <w:p w:rsidR="0098158C" w:rsidRDefault="0098158C" w:rsidP="003C535B">
            <w:r>
              <w:t>Run Revenue/Expense Compare</w:t>
            </w:r>
          </w:p>
        </w:tc>
        <w:tc>
          <w:tcPr>
            <w:tcW w:w="1229" w:type="pct"/>
            <w:shd w:val="clear" w:color="auto" w:fill="auto"/>
          </w:tcPr>
          <w:p w:rsidR="0098158C" w:rsidRDefault="0098158C" w:rsidP="00CE4E4F">
            <w:r>
              <w:t xml:space="preserve">Report will run to success, File will be in Log/Trace.  </w:t>
            </w:r>
          </w:p>
        </w:tc>
        <w:tc>
          <w:tcPr>
            <w:tcW w:w="479" w:type="pct"/>
            <w:shd w:val="clear" w:color="auto" w:fill="auto"/>
          </w:tcPr>
          <w:p w:rsidR="0098158C" w:rsidRDefault="0098158C" w:rsidP="00AA5508"/>
        </w:tc>
        <w:tc>
          <w:tcPr>
            <w:tcW w:w="1298" w:type="pct"/>
          </w:tcPr>
          <w:p w:rsidR="0098158C" w:rsidRDefault="0098158C" w:rsidP="00AA5508"/>
        </w:tc>
        <w:tc>
          <w:tcPr>
            <w:tcW w:w="587" w:type="pct"/>
          </w:tcPr>
          <w:p w:rsidR="0098158C" w:rsidRDefault="0098158C"/>
        </w:tc>
      </w:tr>
      <w:tr w:rsidR="0098158C" w:rsidTr="00DB4CE1">
        <w:trPr>
          <w:trHeight w:val="728"/>
        </w:trPr>
        <w:tc>
          <w:tcPr>
            <w:tcW w:w="238" w:type="pct"/>
          </w:tcPr>
          <w:p w:rsidR="0098158C" w:rsidRDefault="0098158C" w:rsidP="00CE4E4F">
            <w:pPr>
              <w:jc w:val="center"/>
            </w:pPr>
            <w:r>
              <w:t>22</w:t>
            </w:r>
          </w:p>
        </w:tc>
        <w:tc>
          <w:tcPr>
            <w:tcW w:w="1169" w:type="pct"/>
            <w:shd w:val="clear" w:color="auto" w:fill="auto"/>
          </w:tcPr>
          <w:p w:rsidR="0098158C" w:rsidRDefault="0098158C" w:rsidP="003C535B">
            <w:r>
              <w:t>Run Export to Financials</w:t>
            </w:r>
          </w:p>
        </w:tc>
        <w:tc>
          <w:tcPr>
            <w:tcW w:w="1229" w:type="pct"/>
            <w:shd w:val="clear" w:color="auto" w:fill="auto"/>
          </w:tcPr>
          <w:p w:rsidR="0098158C" w:rsidRDefault="0098158C" w:rsidP="00472678">
            <w:r>
              <w:t xml:space="preserve">Process will run success, </w:t>
            </w:r>
          </w:p>
        </w:tc>
        <w:tc>
          <w:tcPr>
            <w:tcW w:w="479" w:type="pct"/>
            <w:shd w:val="clear" w:color="auto" w:fill="auto"/>
          </w:tcPr>
          <w:p w:rsidR="0098158C" w:rsidRDefault="0098158C" w:rsidP="00AA5508"/>
        </w:tc>
        <w:tc>
          <w:tcPr>
            <w:tcW w:w="1298" w:type="pct"/>
          </w:tcPr>
          <w:p w:rsidR="0098158C" w:rsidRDefault="0098158C" w:rsidP="00AA5508"/>
        </w:tc>
        <w:tc>
          <w:tcPr>
            <w:tcW w:w="587" w:type="pct"/>
          </w:tcPr>
          <w:p w:rsidR="0098158C" w:rsidRDefault="0098158C"/>
        </w:tc>
      </w:tr>
      <w:tr w:rsidR="0098158C" w:rsidTr="00DB4CE1">
        <w:trPr>
          <w:trHeight w:val="728"/>
        </w:trPr>
        <w:tc>
          <w:tcPr>
            <w:tcW w:w="238" w:type="pct"/>
          </w:tcPr>
          <w:p w:rsidR="0098158C" w:rsidRDefault="0098158C" w:rsidP="00CE4E4F">
            <w:pPr>
              <w:jc w:val="center"/>
            </w:pPr>
            <w:r>
              <w:t>23</w:t>
            </w:r>
          </w:p>
        </w:tc>
        <w:tc>
          <w:tcPr>
            <w:tcW w:w="1169" w:type="pct"/>
            <w:shd w:val="clear" w:color="auto" w:fill="auto"/>
          </w:tcPr>
          <w:p w:rsidR="0098158C" w:rsidRDefault="0098158C" w:rsidP="003C535B">
            <w:r>
              <w:t>Run HR/Payroll Export</w:t>
            </w:r>
          </w:p>
        </w:tc>
        <w:tc>
          <w:tcPr>
            <w:tcW w:w="1229" w:type="pct"/>
            <w:shd w:val="clear" w:color="auto" w:fill="auto"/>
          </w:tcPr>
          <w:p w:rsidR="0098158C" w:rsidRDefault="0098158C" w:rsidP="00553033">
            <w:r>
              <w:t>Process will run to Success, Validate results of exercises in Steps 7-8.</w:t>
            </w:r>
          </w:p>
        </w:tc>
        <w:tc>
          <w:tcPr>
            <w:tcW w:w="479" w:type="pct"/>
            <w:shd w:val="clear" w:color="auto" w:fill="auto"/>
          </w:tcPr>
          <w:p w:rsidR="0098158C" w:rsidRDefault="0098158C" w:rsidP="00AA5508"/>
        </w:tc>
        <w:tc>
          <w:tcPr>
            <w:tcW w:w="1298" w:type="pct"/>
          </w:tcPr>
          <w:p w:rsidR="0098158C" w:rsidRDefault="0098158C" w:rsidP="00AA5508"/>
        </w:tc>
        <w:tc>
          <w:tcPr>
            <w:tcW w:w="587" w:type="pct"/>
          </w:tcPr>
          <w:p w:rsidR="0098158C" w:rsidRDefault="0098158C"/>
        </w:tc>
      </w:tr>
    </w:tbl>
    <w:p w:rsidR="00712B28" w:rsidRDefault="00712B28" w:rsidP="00AD4DB8">
      <w:pPr>
        <w:spacing w:before="0"/>
      </w:pPr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  <w:bookmarkStart w:id="2" w:name="_GoBack"/>
      <w:bookmarkEnd w:id="2"/>
    </w:p>
    <w:p w:rsidR="0041396E" w:rsidRDefault="0041396E" w:rsidP="00FB627A">
      <w:pPr>
        <w:pStyle w:val="NoSpacing"/>
      </w:pPr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AD4DB8" w:rsidRDefault="00AD4DB8" w:rsidP="00FB627A">
      <w:pPr>
        <w:pStyle w:val="NoSpacing"/>
        <w:rPr>
          <w:b/>
          <w:sz w:val="24"/>
          <w:lang w:val="en-US"/>
        </w:rPr>
      </w:pPr>
    </w:p>
    <w:p w:rsidR="00AD4DB8" w:rsidRDefault="00AD4DB8" w:rsidP="00FB627A">
      <w:pPr>
        <w:pStyle w:val="NoSpacing"/>
        <w:rPr>
          <w:b/>
          <w:sz w:val="24"/>
          <w:lang w:val="en-US"/>
        </w:rPr>
      </w:pPr>
    </w:p>
    <w:p w:rsidR="003448E3" w:rsidRPr="000D6EA9" w:rsidRDefault="001529D6" w:rsidP="00FB627A">
      <w:pPr>
        <w:pStyle w:val="NoSpacing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98158C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98158C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72" w:rsidRDefault="004F7372">
      <w:r>
        <w:separator/>
      </w:r>
    </w:p>
  </w:endnote>
  <w:endnote w:type="continuationSeparator" w:id="0">
    <w:p w:rsidR="004F7372" w:rsidRDefault="004F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Default="003A3FA5" w:rsidP="00FC1231">
          <w:pPr>
            <w:pStyle w:val="Footer"/>
            <w:tabs>
              <w:tab w:val="clear" w:pos="4320"/>
              <w:tab w:val="clear" w:pos="8640"/>
              <w:tab w:val="left" w:pos="2492"/>
            </w:tabs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  <w:r w:rsidR="00FC1231">
            <w:rPr>
              <w:rFonts w:cs="Arial"/>
              <w:sz w:val="20"/>
              <w:lang w:val="en-US" w:eastAsia="en-US"/>
            </w:rPr>
            <w:tab/>
          </w:r>
        </w:p>
        <w:p w:rsidR="00FC1231" w:rsidRDefault="00FC1231" w:rsidP="00FC1231">
          <w:pPr>
            <w:pStyle w:val="Footer"/>
            <w:tabs>
              <w:tab w:val="clear" w:pos="4320"/>
              <w:tab w:val="clear" w:pos="8640"/>
              <w:tab w:val="left" w:pos="2492"/>
            </w:tabs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</w:p>
        <w:p w:rsidR="00FC1231" w:rsidRPr="008A5783" w:rsidRDefault="00FC1231" w:rsidP="00FC1231">
          <w:pPr>
            <w:pStyle w:val="Footer"/>
            <w:tabs>
              <w:tab w:val="clear" w:pos="4320"/>
              <w:tab w:val="clear" w:pos="8640"/>
              <w:tab w:val="left" w:pos="2492"/>
            </w:tabs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AD4DB8">
            <w:rPr>
              <w:rFonts w:cs="Arial"/>
              <w:noProof/>
              <w:sz w:val="20"/>
              <w:lang w:val="en-US" w:eastAsia="en-US"/>
            </w:rPr>
            <w:t>10/24/2013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AD4DB8">
      <w:rPr>
        <w:rStyle w:val="PageNumber"/>
        <w:noProof/>
      </w:rPr>
      <w:t>1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72" w:rsidRDefault="004F7372">
      <w:r>
        <w:separator/>
      </w:r>
    </w:p>
  </w:footnote>
  <w:footnote w:type="continuationSeparator" w:id="0">
    <w:p w:rsidR="004F7372" w:rsidRDefault="004F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558C806F" wp14:editId="0A2808C1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EC0DCD" w:rsidP="00EC0DCD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Budget Prep Module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8954D3"/>
    <w:multiLevelType w:val="hybridMultilevel"/>
    <w:tmpl w:val="E4AC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7"/>
  </w:num>
  <w:num w:numId="11">
    <w:abstractNumId w:val="16"/>
  </w:num>
  <w:num w:numId="12">
    <w:abstractNumId w:val="0"/>
  </w:num>
  <w:num w:numId="13">
    <w:abstractNumId w:val="24"/>
  </w:num>
  <w:num w:numId="14">
    <w:abstractNumId w:val="5"/>
  </w:num>
  <w:num w:numId="15">
    <w:abstractNumId w:val="11"/>
  </w:num>
  <w:num w:numId="16">
    <w:abstractNumId w:val="12"/>
  </w:num>
  <w:num w:numId="17">
    <w:abstractNumId w:val="22"/>
  </w:num>
  <w:num w:numId="18">
    <w:abstractNumId w:val="15"/>
  </w:num>
  <w:num w:numId="19">
    <w:abstractNumId w:val="4"/>
  </w:num>
  <w:num w:numId="20">
    <w:abstractNumId w:val="6"/>
  </w:num>
  <w:num w:numId="21">
    <w:abstractNumId w:val="7"/>
  </w:num>
  <w:num w:numId="22">
    <w:abstractNumId w:val="18"/>
  </w:num>
  <w:num w:numId="23">
    <w:abstractNumId w:val="20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4FE5"/>
    <w:rsid w:val="00016085"/>
    <w:rsid w:val="00017F07"/>
    <w:rsid w:val="00026AE6"/>
    <w:rsid w:val="000277F2"/>
    <w:rsid w:val="00030EB6"/>
    <w:rsid w:val="00053388"/>
    <w:rsid w:val="00053842"/>
    <w:rsid w:val="000552E9"/>
    <w:rsid w:val="0005638A"/>
    <w:rsid w:val="00083875"/>
    <w:rsid w:val="00084EA3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43AD"/>
    <w:rsid w:val="000B5FD6"/>
    <w:rsid w:val="000C2E28"/>
    <w:rsid w:val="000C7343"/>
    <w:rsid w:val="000D6EA9"/>
    <w:rsid w:val="000F1582"/>
    <w:rsid w:val="000F2060"/>
    <w:rsid w:val="000F5791"/>
    <w:rsid w:val="00103163"/>
    <w:rsid w:val="0011207B"/>
    <w:rsid w:val="0011755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6338"/>
    <w:rsid w:val="001C7263"/>
    <w:rsid w:val="001E3BBE"/>
    <w:rsid w:val="001F4D12"/>
    <w:rsid w:val="001F5AF1"/>
    <w:rsid w:val="002033A4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6088"/>
    <w:rsid w:val="0026795A"/>
    <w:rsid w:val="0027502F"/>
    <w:rsid w:val="002802B7"/>
    <w:rsid w:val="00286325"/>
    <w:rsid w:val="00296D31"/>
    <w:rsid w:val="002C17FC"/>
    <w:rsid w:val="002C6614"/>
    <w:rsid w:val="002D7B8D"/>
    <w:rsid w:val="002E0A85"/>
    <w:rsid w:val="002E4B24"/>
    <w:rsid w:val="002F0F63"/>
    <w:rsid w:val="002F2E86"/>
    <w:rsid w:val="002F7FD0"/>
    <w:rsid w:val="00302D0E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51814"/>
    <w:rsid w:val="003576DD"/>
    <w:rsid w:val="00371A2A"/>
    <w:rsid w:val="00372313"/>
    <w:rsid w:val="003972C2"/>
    <w:rsid w:val="003A093E"/>
    <w:rsid w:val="003A3FA5"/>
    <w:rsid w:val="003A7EFC"/>
    <w:rsid w:val="003C535B"/>
    <w:rsid w:val="003C5FD9"/>
    <w:rsid w:val="003C6876"/>
    <w:rsid w:val="003E0585"/>
    <w:rsid w:val="003F2DED"/>
    <w:rsid w:val="003F2E4F"/>
    <w:rsid w:val="00402A9C"/>
    <w:rsid w:val="004135CF"/>
    <w:rsid w:val="0041396E"/>
    <w:rsid w:val="004316BF"/>
    <w:rsid w:val="004326A8"/>
    <w:rsid w:val="00444077"/>
    <w:rsid w:val="00445F64"/>
    <w:rsid w:val="00450555"/>
    <w:rsid w:val="004505B6"/>
    <w:rsid w:val="00450F5D"/>
    <w:rsid w:val="00465416"/>
    <w:rsid w:val="00472678"/>
    <w:rsid w:val="00477010"/>
    <w:rsid w:val="004776A1"/>
    <w:rsid w:val="00480AB0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4F655C"/>
    <w:rsid w:val="004F7372"/>
    <w:rsid w:val="00504410"/>
    <w:rsid w:val="005263C8"/>
    <w:rsid w:val="00527621"/>
    <w:rsid w:val="005375A4"/>
    <w:rsid w:val="00542CC7"/>
    <w:rsid w:val="0054313B"/>
    <w:rsid w:val="00543CB8"/>
    <w:rsid w:val="0055301A"/>
    <w:rsid w:val="00553033"/>
    <w:rsid w:val="005568C3"/>
    <w:rsid w:val="00561BE9"/>
    <w:rsid w:val="00565A7C"/>
    <w:rsid w:val="00565B04"/>
    <w:rsid w:val="00571F88"/>
    <w:rsid w:val="00573382"/>
    <w:rsid w:val="00574F35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2D90"/>
    <w:rsid w:val="005E760B"/>
    <w:rsid w:val="005E7E1F"/>
    <w:rsid w:val="005F0592"/>
    <w:rsid w:val="005F2DE2"/>
    <w:rsid w:val="005F2F7D"/>
    <w:rsid w:val="005F5239"/>
    <w:rsid w:val="00601791"/>
    <w:rsid w:val="006062D8"/>
    <w:rsid w:val="00611E14"/>
    <w:rsid w:val="006122A7"/>
    <w:rsid w:val="00614C19"/>
    <w:rsid w:val="00635EB8"/>
    <w:rsid w:val="006464E2"/>
    <w:rsid w:val="00647D9F"/>
    <w:rsid w:val="00651CD3"/>
    <w:rsid w:val="0065354B"/>
    <w:rsid w:val="00656023"/>
    <w:rsid w:val="0066065D"/>
    <w:rsid w:val="00662295"/>
    <w:rsid w:val="00663570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626"/>
    <w:rsid w:val="008232B2"/>
    <w:rsid w:val="00823374"/>
    <w:rsid w:val="0083034F"/>
    <w:rsid w:val="00844435"/>
    <w:rsid w:val="00847BB7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3D5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6936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158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C7004"/>
    <w:rsid w:val="009D05F8"/>
    <w:rsid w:val="009D7ED8"/>
    <w:rsid w:val="009E31C1"/>
    <w:rsid w:val="009E7870"/>
    <w:rsid w:val="009F7449"/>
    <w:rsid w:val="009F7DC1"/>
    <w:rsid w:val="00A0283F"/>
    <w:rsid w:val="00A0647B"/>
    <w:rsid w:val="00A1483E"/>
    <w:rsid w:val="00A15095"/>
    <w:rsid w:val="00A163FD"/>
    <w:rsid w:val="00A26BDD"/>
    <w:rsid w:val="00A32BB7"/>
    <w:rsid w:val="00A33CF8"/>
    <w:rsid w:val="00A665AE"/>
    <w:rsid w:val="00A6675C"/>
    <w:rsid w:val="00A66D00"/>
    <w:rsid w:val="00A67144"/>
    <w:rsid w:val="00A700C3"/>
    <w:rsid w:val="00A74071"/>
    <w:rsid w:val="00A74474"/>
    <w:rsid w:val="00A7464B"/>
    <w:rsid w:val="00A75C5F"/>
    <w:rsid w:val="00A8133D"/>
    <w:rsid w:val="00A8231A"/>
    <w:rsid w:val="00A95264"/>
    <w:rsid w:val="00AA5508"/>
    <w:rsid w:val="00AB2479"/>
    <w:rsid w:val="00AD1149"/>
    <w:rsid w:val="00AD4DB8"/>
    <w:rsid w:val="00AF0D93"/>
    <w:rsid w:val="00B00A21"/>
    <w:rsid w:val="00B05D98"/>
    <w:rsid w:val="00B05F75"/>
    <w:rsid w:val="00B06ED1"/>
    <w:rsid w:val="00B14939"/>
    <w:rsid w:val="00B206D1"/>
    <w:rsid w:val="00B2477A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BF64CE"/>
    <w:rsid w:val="00C005F1"/>
    <w:rsid w:val="00C07CB4"/>
    <w:rsid w:val="00C10959"/>
    <w:rsid w:val="00C26714"/>
    <w:rsid w:val="00C42E19"/>
    <w:rsid w:val="00C509C8"/>
    <w:rsid w:val="00C56A4C"/>
    <w:rsid w:val="00C62235"/>
    <w:rsid w:val="00C662D2"/>
    <w:rsid w:val="00C722B5"/>
    <w:rsid w:val="00C8056E"/>
    <w:rsid w:val="00C81093"/>
    <w:rsid w:val="00C82DDE"/>
    <w:rsid w:val="00C830E9"/>
    <w:rsid w:val="00C8327F"/>
    <w:rsid w:val="00C85042"/>
    <w:rsid w:val="00C92C8C"/>
    <w:rsid w:val="00CA2441"/>
    <w:rsid w:val="00CA7528"/>
    <w:rsid w:val="00CB2880"/>
    <w:rsid w:val="00CB45D7"/>
    <w:rsid w:val="00CB50F9"/>
    <w:rsid w:val="00CB65B3"/>
    <w:rsid w:val="00CC4399"/>
    <w:rsid w:val="00CD06EA"/>
    <w:rsid w:val="00CD3F68"/>
    <w:rsid w:val="00CD6131"/>
    <w:rsid w:val="00CE3C67"/>
    <w:rsid w:val="00CE4E4F"/>
    <w:rsid w:val="00CF287E"/>
    <w:rsid w:val="00CF2B23"/>
    <w:rsid w:val="00D02F37"/>
    <w:rsid w:val="00D13B5E"/>
    <w:rsid w:val="00D16902"/>
    <w:rsid w:val="00D17BEC"/>
    <w:rsid w:val="00D17F8A"/>
    <w:rsid w:val="00D2273D"/>
    <w:rsid w:val="00D23B9C"/>
    <w:rsid w:val="00D321B7"/>
    <w:rsid w:val="00D431F3"/>
    <w:rsid w:val="00D45C90"/>
    <w:rsid w:val="00D503EB"/>
    <w:rsid w:val="00D508B9"/>
    <w:rsid w:val="00D50AA5"/>
    <w:rsid w:val="00D51030"/>
    <w:rsid w:val="00D56EAF"/>
    <w:rsid w:val="00D6054A"/>
    <w:rsid w:val="00D6386B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94466"/>
    <w:rsid w:val="00EA30A6"/>
    <w:rsid w:val="00EB4464"/>
    <w:rsid w:val="00EB56AD"/>
    <w:rsid w:val="00EB63B1"/>
    <w:rsid w:val="00EC0A2F"/>
    <w:rsid w:val="00EC0A5C"/>
    <w:rsid w:val="00EC0DCD"/>
    <w:rsid w:val="00EC4E36"/>
    <w:rsid w:val="00EC60AA"/>
    <w:rsid w:val="00F03D8F"/>
    <w:rsid w:val="00F077B1"/>
    <w:rsid w:val="00F1783D"/>
    <w:rsid w:val="00F200DF"/>
    <w:rsid w:val="00F27789"/>
    <w:rsid w:val="00F33799"/>
    <w:rsid w:val="00F42815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627A"/>
    <w:rsid w:val="00FB7E09"/>
    <w:rsid w:val="00FC0FE5"/>
    <w:rsid w:val="00FC1231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  <w:style w:type="paragraph" w:styleId="NormalWeb">
    <w:name w:val="Normal (Web)"/>
    <w:basedOn w:val="Normal"/>
    <w:uiPriority w:val="99"/>
    <w:unhideWhenUsed/>
    <w:rsid w:val="00FC1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  <w:style w:type="paragraph" w:styleId="NormalWeb">
    <w:name w:val="Normal (Web)"/>
    <w:basedOn w:val="Normal"/>
    <w:uiPriority w:val="99"/>
    <w:unhideWhenUsed/>
    <w:rsid w:val="00FC1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4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4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1917F-797A-44E8-B91B-DEA84ED26BE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CA7F5C-6DF2-4F08-8B03-6F72A990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2013-10-07T20:29:00Z</cp:lastPrinted>
  <dcterms:created xsi:type="dcterms:W3CDTF">2013-10-24T15:13:00Z</dcterms:created>
  <dcterms:modified xsi:type="dcterms:W3CDTF">2013-10-24T15:13:00Z</dcterms:modified>
</cp:coreProperties>
</file>