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239"/>
        <w:gridCol w:w="3175"/>
        <w:gridCol w:w="1231"/>
        <w:gridCol w:w="3389"/>
        <w:gridCol w:w="1515"/>
      </w:tblGrid>
      <w:tr w:rsidR="00A66D00" w:rsidRPr="00C8327F" w:rsidTr="00A41468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86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75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A41468" w:rsidTr="00A41468"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1</w:t>
            </w:r>
          </w:p>
        </w:tc>
        <w:tc>
          <w:tcPr>
            <w:tcW w:w="1229" w:type="pct"/>
            <w:shd w:val="clear" w:color="auto" w:fill="auto"/>
          </w:tcPr>
          <w:p w:rsidR="00A41468" w:rsidRDefault="00204F71" w:rsidP="00C41492">
            <w:pPr>
              <w:spacing w:after="0"/>
            </w:pPr>
            <w:r>
              <w:t>Interface P</w:t>
            </w:r>
            <w:r w:rsidR="00A41468">
              <w:t xml:space="preserve">rocess: </w:t>
            </w:r>
          </w:p>
          <w:p w:rsidR="00A41468" w:rsidRDefault="00A41468" w:rsidP="00C41492">
            <w:pPr>
              <w:pStyle w:val="ListParagraph"/>
              <w:numPr>
                <w:ilvl w:val="0"/>
                <w:numId w:val="27"/>
              </w:numPr>
              <w:ind w:left="273" w:hanging="273"/>
            </w:pPr>
            <w:r>
              <w:t xml:space="preserve">Run the BORQM002 query </w:t>
            </w:r>
          </w:p>
          <w:p w:rsidR="00A41468" w:rsidRDefault="00A41468" w:rsidP="00C41492">
            <w:pPr>
              <w:pStyle w:val="ListParagraph"/>
              <w:numPr>
                <w:ilvl w:val="0"/>
                <w:numId w:val="27"/>
              </w:numPr>
              <w:ind w:left="273" w:hanging="273"/>
            </w:pPr>
            <w:r>
              <w:t xml:space="preserve">If you have current results on the BORQM002 query*, load one voucher/receiver into Pre-AM. </w:t>
            </w:r>
          </w:p>
          <w:p w:rsidR="00A41468" w:rsidRDefault="00A41468" w:rsidP="00C41492">
            <w:pPr>
              <w:pStyle w:val="ListParagraph"/>
              <w:numPr>
                <w:ilvl w:val="0"/>
                <w:numId w:val="27"/>
              </w:numPr>
              <w:ind w:left="273" w:hanging="273"/>
            </w:pPr>
            <w:r>
              <w:t xml:space="preserve">Run the Payables/Purchasing interface to load the data into the Review Financials and Review </w:t>
            </w:r>
            <w:proofErr w:type="spellStart"/>
            <w:r>
              <w:t>Phy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pages.  </w:t>
            </w:r>
          </w:p>
          <w:p w:rsidR="00204F71" w:rsidRDefault="00A41468" w:rsidP="00204F71">
            <w:pPr>
              <w:pStyle w:val="ListParagraph"/>
              <w:numPr>
                <w:ilvl w:val="1"/>
                <w:numId w:val="27"/>
              </w:numPr>
              <w:spacing w:after="0"/>
              <w:ind w:left="633" w:hanging="273"/>
            </w:pPr>
            <w:r>
              <w:t xml:space="preserve">Make certain that </w:t>
            </w:r>
            <w:r w:rsidR="00C41492">
              <w:t xml:space="preserve">a </w:t>
            </w:r>
            <w:r w:rsidR="00C41492" w:rsidRPr="00C41492">
              <w:rPr>
                <w:u w:val="single"/>
              </w:rPr>
              <w:t>September</w:t>
            </w:r>
            <w:r w:rsidR="00204F71">
              <w:t xml:space="preserve"> accounting date is used on the R</w:t>
            </w:r>
            <w:r>
              <w:t>eview Financials page.</w:t>
            </w:r>
          </w:p>
          <w:p w:rsidR="00A41468" w:rsidRDefault="00204F71" w:rsidP="00204F71">
            <w:r>
              <w:lastRenderedPageBreak/>
              <w:t xml:space="preserve">4. </w:t>
            </w:r>
            <w:r w:rsidR="00A41468">
              <w:t xml:space="preserve">Run </w:t>
            </w:r>
            <w:proofErr w:type="spellStart"/>
            <w:r w:rsidR="00A41468">
              <w:t>Transloader</w:t>
            </w:r>
            <w:proofErr w:type="spellEnd"/>
            <w:r>
              <w:t>.</w:t>
            </w:r>
          </w:p>
          <w:p w:rsidR="00A41468" w:rsidRPr="1B031C0E" w:rsidRDefault="00A41468" w:rsidP="0013596A">
            <w:r>
              <w:t>*this scenario is not applicable to institutions with no current results or those not using the interface process.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C41492">
            <w:r>
              <w:lastRenderedPageBreak/>
              <w:t>Asset will be created as a result of the interface process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lastRenderedPageBreak/>
              <w:t>2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204F71">
            <w:r w:rsidRPr="1B031C0E">
              <w:t>Add an asset using Basic Add</w:t>
            </w:r>
            <w:r>
              <w:t xml:space="preserve">.  Use </w:t>
            </w:r>
            <w:r w:rsidR="00204F71">
              <w:t>a September</w:t>
            </w:r>
            <w:r>
              <w:t xml:space="preserve"> accounting date</w:t>
            </w:r>
            <w:r w:rsidR="00204F71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pPr>
              <w:jc w:val="both"/>
            </w:pPr>
            <w:r>
              <w:t>Asset will be created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3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204F71">
            <w:r w:rsidRPr="1B031C0E">
              <w:t>Perform a Cost Adjustment to an asset</w:t>
            </w:r>
            <w:r>
              <w:t xml:space="preserve">. Use </w:t>
            </w:r>
            <w:r w:rsidR="00204F71">
              <w:t>a September</w:t>
            </w:r>
            <w:r>
              <w:t xml:space="preserve"> accounting date</w:t>
            </w:r>
            <w:r w:rsidR="00204F71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>Cost will be modified on an asset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4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204F71">
            <w:r w:rsidRPr="1B031C0E">
              <w:t>Perform a Book Adjustment to an asset</w:t>
            </w:r>
            <w:r>
              <w:t xml:space="preserve"> to change its useful life. Use the Life to Date convention and </w:t>
            </w:r>
            <w:r w:rsidR="00204F71">
              <w:t>a September</w:t>
            </w:r>
            <w:r>
              <w:t xml:space="preserve"> accounting date</w:t>
            </w:r>
            <w:r w:rsidR="00204F71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>Useful life will be modified for an asset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5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204F71">
            <w:r w:rsidRPr="1B031C0E">
              <w:t>Retire an asset</w:t>
            </w:r>
            <w:r>
              <w:t xml:space="preserve">. Use </w:t>
            </w:r>
            <w:r w:rsidR="00204F71">
              <w:t>a September</w:t>
            </w:r>
            <w:r>
              <w:t xml:space="preserve"> accounting date</w:t>
            </w:r>
            <w:r w:rsidR="00204F71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>Asset will be retired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lastRenderedPageBreak/>
              <w:t>6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13596A">
            <w:r>
              <w:t>Verify that the assets that you created or modified in steps 1-5 are shown as Open Trans</w:t>
            </w:r>
            <w:r w:rsidR="00204F71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>Should see Open Trans for added or modified assets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7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13596A">
            <w:r>
              <w:t xml:space="preserve">Run Month End processes for </w:t>
            </w:r>
            <w:r w:rsidR="00204F71">
              <w:t>September:</w:t>
            </w:r>
          </w:p>
          <w:p w:rsidR="00A41468" w:rsidRDefault="00A41468" w:rsidP="00204F71">
            <w:pPr>
              <w:pStyle w:val="ListParagraph"/>
              <w:numPr>
                <w:ilvl w:val="0"/>
                <w:numId w:val="26"/>
              </w:numPr>
              <w:ind w:left="183" w:hanging="183"/>
            </w:pPr>
            <w:r w:rsidRPr="1B031C0E">
              <w:t>Depreciation Calculation</w:t>
            </w:r>
          </w:p>
          <w:p w:rsidR="00A41468" w:rsidRDefault="00A41468" w:rsidP="00204F71">
            <w:pPr>
              <w:pStyle w:val="ListParagraph"/>
              <w:numPr>
                <w:ilvl w:val="0"/>
                <w:numId w:val="26"/>
              </w:numPr>
              <w:ind w:left="183" w:hanging="183"/>
            </w:pPr>
            <w:r w:rsidRPr="1B031C0E">
              <w:t>Accounting Entry Creation</w:t>
            </w:r>
          </w:p>
          <w:p w:rsidR="00A41468" w:rsidRDefault="00A41468" w:rsidP="00204F71">
            <w:pPr>
              <w:pStyle w:val="ListParagraph"/>
              <w:numPr>
                <w:ilvl w:val="0"/>
                <w:numId w:val="26"/>
              </w:numPr>
              <w:ind w:left="183" w:hanging="183"/>
            </w:pPr>
            <w:r w:rsidRPr="1B031C0E">
              <w:t>Depreciation Close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 xml:space="preserve">Entries posted to </w:t>
            </w:r>
            <w:proofErr w:type="spellStart"/>
            <w:r>
              <w:t>Dist_Ln</w:t>
            </w:r>
            <w:proofErr w:type="spellEnd"/>
            <w:r>
              <w:t xml:space="preserve"> table</w:t>
            </w:r>
            <w:r w:rsidR="00204F71">
              <w:t>.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8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13596A">
            <w:r>
              <w:t xml:space="preserve">Run the </w:t>
            </w:r>
            <w:proofErr w:type="spellStart"/>
            <w:r>
              <w:t>BOR_Asset_Listing_</w:t>
            </w:r>
            <w:proofErr w:type="gramStart"/>
            <w:r>
              <w:t>Auditors</w:t>
            </w:r>
            <w:proofErr w:type="spellEnd"/>
            <w:r>
              <w:t xml:space="preserve">  query</w:t>
            </w:r>
            <w:proofErr w:type="gramEnd"/>
            <w:r>
              <w:t>.  Verify results</w:t>
            </w:r>
            <w:r w:rsidR="000A44BE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 xml:space="preserve">Results </w:t>
            </w:r>
            <w:r w:rsidR="000A44BE">
              <w:t xml:space="preserve">of query in UAT </w:t>
            </w:r>
            <w:r>
              <w:t xml:space="preserve">should match </w:t>
            </w:r>
            <w:r w:rsidR="000A44BE">
              <w:t>the results when query is run from P</w:t>
            </w:r>
            <w:r>
              <w:t>roduction</w:t>
            </w:r>
            <w:r w:rsidR="000A44BE">
              <w:t>,</w:t>
            </w:r>
            <w:r>
              <w:t xml:space="preserve"> with the exception of any new assets. </w:t>
            </w:r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  <w:tr w:rsidR="00A41468" w:rsidTr="00A41468">
        <w:trPr>
          <w:trHeight w:val="728"/>
        </w:trPr>
        <w:tc>
          <w:tcPr>
            <w:tcW w:w="238" w:type="pct"/>
          </w:tcPr>
          <w:p w:rsidR="00A41468" w:rsidRDefault="00A41468" w:rsidP="003A3FA5">
            <w:pPr>
              <w:jc w:val="center"/>
            </w:pPr>
            <w:r>
              <w:t>9</w:t>
            </w:r>
          </w:p>
        </w:tc>
        <w:tc>
          <w:tcPr>
            <w:tcW w:w="1229" w:type="pct"/>
            <w:shd w:val="clear" w:color="auto" w:fill="auto"/>
          </w:tcPr>
          <w:p w:rsidR="00A41468" w:rsidRDefault="00A41468" w:rsidP="000A44BE">
            <w:r>
              <w:t>Each AM user should verify that they are able to access th</w:t>
            </w:r>
            <w:r w:rsidR="000A44BE">
              <w:t>ose</w:t>
            </w:r>
            <w:r>
              <w:t xml:space="preserve"> AM menu items that they </w:t>
            </w:r>
            <w:r w:rsidR="000A44BE">
              <w:t>have access to in P</w:t>
            </w:r>
            <w:r>
              <w:t>roduction</w:t>
            </w:r>
            <w:r w:rsidR="000A44BE">
              <w:t>.</w:t>
            </w:r>
          </w:p>
        </w:tc>
        <w:tc>
          <w:tcPr>
            <w:tcW w:w="1205" w:type="pct"/>
            <w:shd w:val="clear" w:color="auto" w:fill="auto"/>
          </w:tcPr>
          <w:p w:rsidR="00A41468" w:rsidRDefault="00A41468" w:rsidP="0013596A">
            <w:r>
              <w:t>Access</w:t>
            </w:r>
            <w:r w:rsidR="000A44BE">
              <w:t xml:space="preserve"> to menu items</w:t>
            </w:r>
            <w:r>
              <w:t xml:space="preserve"> between UAT and PRD should be the same for individual users.</w:t>
            </w:r>
            <w:bookmarkStart w:id="2" w:name="_GoBack"/>
            <w:bookmarkEnd w:id="2"/>
          </w:p>
        </w:tc>
        <w:tc>
          <w:tcPr>
            <w:tcW w:w="467" w:type="pct"/>
            <w:shd w:val="clear" w:color="auto" w:fill="auto"/>
          </w:tcPr>
          <w:p w:rsidR="00A41468" w:rsidRDefault="00A41468" w:rsidP="00AA5508"/>
        </w:tc>
        <w:tc>
          <w:tcPr>
            <w:tcW w:w="1286" w:type="pct"/>
          </w:tcPr>
          <w:p w:rsidR="00A41468" w:rsidRDefault="00A41468" w:rsidP="00AA5508"/>
        </w:tc>
        <w:tc>
          <w:tcPr>
            <w:tcW w:w="575" w:type="pct"/>
          </w:tcPr>
          <w:p w:rsidR="00A41468" w:rsidRDefault="00A41468" w:rsidP="00AA5508"/>
        </w:tc>
      </w:tr>
    </w:tbl>
    <w:p w:rsidR="00712B28" w:rsidRDefault="00712B28" w:rsidP="001529D6"/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E7" w:rsidRDefault="006C5DE7">
      <w:r>
        <w:separator/>
      </w:r>
    </w:p>
  </w:endnote>
  <w:endnote w:type="continuationSeparator" w:id="0">
    <w:p w:rsidR="006C5DE7" w:rsidRDefault="006C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C41492">
            <w:rPr>
              <w:rFonts w:cs="Arial"/>
              <w:noProof/>
              <w:sz w:val="20"/>
              <w:lang w:val="en-US" w:eastAsia="en-US"/>
            </w:rPr>
            <w:t>10/22/2013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0A44BE">
      <w:rPr>
        <w:rStyle w:val="PageNumber"/>
        <w:noProof/>
      </w:rPr>
      <w:t>1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E7" w:rsidRDefault="006C5DE7">
      <w:r>
        <w:separator/>
      </w:r>
    </w:p>
  </w:footnote>
  <w:footnote w:type="continuationSeparator" w:id="0">
    <w:p w:rsidR="006C5DE7" w:rsidRDefault="006C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2027241E" wp14:editId="18A15669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A41468" w:rsidP="00A41468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Asset Management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FB"/>
    <w:multiLevelType w:val="hybridMultilevel"/>
    <w:tmpl w:val="44C0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CF12E0"/>
    <w:multiLevelType w:val="hybridMultilevel"/>
    <w:tmpl w:val="9816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C6255"/>
    <w:multiLevelType w:val="hybridMultilevel"/>
    <w:tmpl w:val="44D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3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19"/>
  </w:num>
  <w:num w:numId="11">
    <w:abstractNumId w:val="18"/>
  </w:num>
  <w:num w:numId="12">
    <w:abstractNumId w:val="1"/>
  </w:num>
  <w:num w:numId="13">
    <w:abstractNumId w:val="26"/>
  </w:num>
  <w:num w:numId="14">
    <w:abstractNumId w:val="6"/>
  </w:num>
  <w:num w:numId="15">
    <w:abstractNumId w:val="12"/>
  </w:num>
  <w:num w:numId="16">
    <w:abstractNumId w:val="13"/>
  </w:num>
  <w:num w:numId="17">
    <w:abstractNumId w:val="24"/>
  </w:num>
  <w:num w:numId="18">
    <w:abstractNumId w:val="17"/>
  </w:num>
  <w:num w:numId="19">
    <w:abstractNumId w:val="5"/>
  </w:num>
  <w:num w:numId="20">
    <w:abstractNumId w:val="7"/>
  </w:num>
  <w:num w:numId="21">
    <w:abstractNumId w:val="8"/>
  </w:num>
  <w:num w:numId="22">
    <w:abstractNumId w:val="20"/>
  </w:num>
  <w:num w:numId="23">
    <w:abstractNumId w:val="22"/>
  </w:num>
  <w:num w:numId="24">
    <w:abstractNumId w:val="9"/>
  </w:num>
  <w:num w:numId="25">
    <w:abstractNumId w:val="14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44BE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04F71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C5DE7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6BDD"/>
    <w:rsid w:val="00A32BB7"/>
    <w:rsid w:val="00A33CF8"/>
    <w:rsid w:val="00A4146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1492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1917F-797A-44E8-B91B-DEA84ED26BE4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17FE60-BF46-4EEC-98C9-F167A10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2013-10-22T18:30:00Z</dcterms:created>
  <dcterms:modified xsi:type="dcterms:W3CDTF">2013-10-22T18:30:00Z</dcterms:modified>
</cp:coreProperties>
</file>