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98" w:rsidRPr="00F90493" w:rsidRDefault="003D0932" w:rsidP="003D0932">
      <w:bookmarkStart w:id="0" w:name="_Toc262147560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7C646" wp14:editId="42FE42CC">
                <wp:simplePos x="0" y="0"/>
                <wp:positionH relativeFrom="column">
                  <wp:posOffset>-213360</wp:posOffset>
                </wp:positionH>
                <wp:positionV relativeFrom="paragraph">
                  <wp:posOffset>1123950</wp:posOffset>
                </wp:positionV>
                <wp:extent cx="6189345" cy="26060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26060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txbx>
                        <w:txbxContent>
                          <w:p w:rsidR="00FE1CAA" w:rsidRPr="000D3D06" w:rsidRDefault="003D0932" w:rsidP="00FE1CAA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5F35F0">
                              <w:rPr>
                                <w:color w:val="FFFFFF" w:themeColor="background1"/>
                              </w:rPr>
                              <w:t>”)</w:t>
                            </w:r>
                            <w:r w:rsidR="00FE1CAA" w:rsidRPr="00FE1CAA">
                              <w:t xml:space="preserve"> </w:t>
                            </w:r>
                            <w:r w:rsidR="00FE1CAA" w:rsidRPr="000D3D06">
                              <w:rPr>
                                <w:color w:val="auto"/>
                              </w:rPr>
                              <w:t>Plan Sponsor Portal – (PSP) Training and User Guide</w:t>
                            </w:r>
                            <w:r w:rsidR="00FE1CAA">
                              <w:rPr>
                                <w:color w:val="auto"/>
                              </w:rPr>
                              <w:t xml:space="preserve"> – Session 5</w:t>
                            </w:r>
                          </w:p>
                          <w:p w:rsidR="003D0932" w:rsidRPr="005F35F0" w:rsidRDefault="003D0932" w:rsidP="003D0932">
                            <w:pPr>
                              <w:pStyle w:val="DocumentSubtitle"/>
                              <w:rPr>
                                <w:color w:val="FFFFFF" w:themeColor="background1"/>
                              </w:rPr>
                            </w:pPr>
                          </w:p>
                          <w:p w:rsidR="003D0932" w:rsidRPr="005F35F0" w:rsidRDefault="003D093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E26BC" w:rsidRPr="005F35F0" w:rsidRDefault="00F1357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6172200" cy="936161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2995" cy="937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C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8pt;margin-top:88.5pt;width:487.3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" filled="f" stroked="f" strokeweight=".5pt">
                <v:textbox inset="0,0,0,0">
                  <w:txbxContent>
                    <w:p w:rsidR="00FE1CAA" w:rsidRPr="000D3D06" w:rsidRDefault="003D0932" w:rsidP="00FE1CAA">
                      <w:pPr>
                        <w:pStyle w:val="Title"/>
                        <w:rPr>
                          <w:color w:val="auto"/>
                        </w:rPr>
                      </w:pPr>
                      <w:r w:rsidRPr="005F35F0">
                        <w:rPr>
                          <w:color w:val="FFFFFF" w:themeColor="background1"/>
                        </w:rPr>
                        <w:t>”)</w:t>
                      </w:r>
                      <w:r w:rsidR="00FE1CAA" w:rsidRPr="00FE1CAA">
                        <w:t xml:space="preserve"> </w:t>
                      </w:r>
                      <w:r w:rsidR="00FE1CAA" w:rsidRPr="000D3D06">
                        <w:rPr>
                          <w:color w:val="auto"/>
                        </w:rPr>
                        <w:t>Plan Sponsor Portal – (PSP) Training and User Guide</w:t>
                      </w:r>
                      <w:r w:rsidR="00FE1CAA">
                        <w:rPr>
                          <w:color w:val="auto"/>
                        </w:rPr>
                        <w:t xml:space="preserve"> – Session 5</w:t>
                      </w:r>
                    </w:p>
                    <w:p w:rsidR="003D0932" w:rsidRPr="005F35F0" w:rsidRDefault="003D0932" w:rsidP="003D0932">
                      <w:pPr>
                        <w:pStyle w:val="DocumentSubtitle"/>
                        <w:rPr>
                          <w:color w:val="FFFFFF" w:themeColor="background1"/>
                        </w:rPr>
                      </w:pPr>
                    </w:p>
                    <w:p w:rsidR="003D0932" w:rsidRPr="005F35F0" w:rsidRDefault="003D0932">
                      <w:pPr>
                        <w:rPr>
                          <w:color w:val="FFFFFF" w:themeColor="background1"/>
                        </w:rPr>
                      </w:pPr>
                    </w:p>
                    <w:p w:rsidR="008E26BC" w:rsidRPr="005F35F0" w:rsidRDefault="00F1357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6172200" cy="936161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2995" cy="937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CAA" w:rsidRPr="000D3D06" w:rsidRDefault="00FE1CAA" w:rsidP="00FE1CAA">
      <w:pPr>
        <w:pStyle w:val="Heading1"/>
        <w:rPr>
          <w:color w:val="auto"/>
        </w:rPr>
      </w:pPr>
      <w:r w:rsidRPr="005F35F0">
        <w:rPr>
          <w:color w:val="FFFFFF" w:themeColor="background1"/>
        </w:rPr>
        <w:lastRenderedPageBreak/>
        <w:t>R</w:t>
      </w:r>
      <w:r w:rsidRPr="00FE1CAA">
        <w:rPr>
          <w:color w:val="auto"/>
        </w:rPr>
        <w:t xml:space="preserve"> </w:t>
      </w:r>
      <w:r w:rsidRPr="000D3D06">
        <w:rPr>
          <w:color w:val="auto"/>
        </w:rPr>
        <w:t>Agenda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264" w:lineRule="auto"/>
        <w:textAlignment w:val="center"/>
        <w:rPr>
          <w:rFonts w:asciiTheme="minorHAnsi" w:hAnsiTheme="minorHAnsi" w:cs="Times New Roman"/>
          <w:b w:val="0"/>
          <w:color w:val="auto"/>
          <w:sz w:val="32"/>
          <w:szCs w:val="32"/>
        </w:rPr>
      </w:pPr>
      <w:r w:rsidRPr="00FE1CAA">
        <w:rPr>
          <w:rFonts w:asciiTheme="minorHAnsi" w:hAnsiTheme="minorHAnsi" w:cs="Times New Roman"/>
          <w:b w:val="0"/>
          <w:color w:val="auto"/>
          <w:sz w:val="32"/>
          <w:szCs w:val="32"/>
        </w:rPr>
        <w:t>Meeting Highlights and Reminders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264" w:lineRule="auto"/>
        <w:textAlignment w:val="center"/>
        <w:rPr>
          <w:rFonts w:asciiTheme="minorHAnsi" w:hAnsiTheme="minorHAnsi" w:cs="Times New Roman"/>
          <w:b w:val="0"/>
          <w:color w:val="auto"/>
          <w:sz w:val="32"/>
          <w:szCs w:val="32"/>
        </w:rPr>
      </w:pPr>
      <w:r w:rsidRPr="00FE1CAA">
        <w:rPr>
          <w:rFonts w:asciiTheme="minorHAnsi" w:hAnsiTheme="minorHAnsi" w:cs="Times New Roman"/>
          <w:b w:val="0"/>
          <w:color w:val="auto"/>
          <w:sz w:val="32"/>
          <w:szCs w:val="32"/>
        </w:rPr>
        <w:t>Logging into PSP</w:t>
      </w:r>
    </w:p>
    <w:p w:rsidR="00FE1CAA" w:rsidRPr="00FE1CAA" w:rsidRDefault="00FE1CAA" w:rsidP="00FE1CAA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Theme="minorHAnsi" w:hAnsiTheme="minorHAnsi"/>
          <w:sz w:val="32"/>
          <w:szCs w:val="32"/>
        </w:rPr>
      </w:pPr>
      <w:r w:rsidRPr="00FE1CAA">
        <w:rPr>
          <w:rFonts w:asciiTheme="minorHAnsi" w:hAnsiTheme="minorHAnsi"/>
          <w:sz w:val="32"/>
          <w:szCs w:val="32"/>
        </w:rPr>
        <w:t>Features of the Tool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264" w:lineRule="auto"/>
        <w:textAlignment w:val="center"/>
        <w:rPr>
          <w:rFonts w:asciiTheme="minorHAnsi" w:hAnsiTheme="minorHAnsi" w:cs="Times New Roman"/>
          <w:b w:val="0"/>
          <w:color w:val="auto"/>
          <w:sz w:val="32"/>
          <w:szCs w:val="32"/>
        </w:rPr>
      </w:pPr>
      <w:r w:rsidRPr="00FE1CAA">
        <w:rPr>
          <w:rFonts w:asciiTheme="minorHAnsi" w:hAnsiTheme="minorHAnsi" w:cs="Times New Roman"/>
          <w:b w:val="0"/>
          <w:color w:val="auto"/>
          <w:sz w:val="32"/>
          <w:szCs w:val="32"/>
        </w:rPr>
        <w:t>Accessing Reports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264" w:lineRule="auto"/>
        <w:textAlignment w:val="center"/>
        <w:rPr>
          <w:rFonts w:asciiTheme="minorHAnsi" w:hAnsiTheme="minorHAnsi"/>
          <w:b w:val="0"/>
          <w:color w:val="5EB6E4"/>
          <w:szCs w:val="36"/>
        </w:rPr>
      </w:pPr>
      <w:r w:rsidRPr="00FE1CAA">
        <w:rPr>
          <w:rFonts w:asciiTheme="minorHAnsi" w:hAnsiTheme="minorHAnsi" w:cs="Times New Roman"/>
          <w:b w:val="0"/>
          <w:color w:val="auto"/>
          <w:sz w:val="32"/>
          <w:szCs w:val="32"/>
        </w:rPr>
        <w:t>Running Adhoc reports</w:t>
      </w:r>
    </w:p>
    <w:p w:rsidR="00FE1CAA" w:rsidRDefault="00FE1CAA" w:rsidP="00FE1CAA">
      <w:pPr>
        <w:rPr>
          <w:rFonts w:eastAsia="Times New Roman"/>
        </w:rPr>
      </w:pPr>
      <w:r>
        <w:br w:type="page"/>
      </w:r>
    </w:p>
    <w:p w:rsidR="00FE1CAA" w:rsidRPr="000D3D06" w:rsidRDefault="00FE1CAA" w:rsidP="00FE1CAA">
      <w:pPr>
        <w:pStyle w:val="Heading1"/>
        <w:jc w:val="both"/>
        <w:rPr>
          <w:color w:val="auto"/>
        </w:rPr>
      </w:pPr>
      <w:r w:rsidRPr="000D3D06">
        <w:rPr>
          <w:color w:val="auto"/>
        </w:rPr>
        <w:lastRenderedPageBreak/>
        <w:t>Meeting Highlights and Reminders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240" w:after="120" w:line="264" w:lineRule="auto"/>
        <w:jc w:val="both"/>
        <w:textAlignment w:val="center"/>
        <w:rPr>
          <w:rFonts w:asciiTheme="minorHAnsi" w:hAnsiTheme="minorHAnsi"/>
          <w:b w:val="0"/>
          <w:color w:val="auto"/>
          <w:sz w:val="32"/>
          <w:szCs w:val="32"/>
        </w:rPr>
      </w:pPr>
      <w:r w:rsidRPr="00FE1CAA">
        <w:rPr>
          <w:rFonts w:asciiTheme="minorHAnsi" w:hAnsiTheme="minorHAnsi"/>
          <w:b w:val="0"/>
          <w:color w:val="auto"/>
          <w:sz w:val="32"/>
          <w:szCs w:val="32"/>
        </w:rPr>
        <w:t>Introduction of Facilitators: Jennifer Kennington, Theresa Wood, Megan Lobe, Karthick G., Dorinda Ebert</w:t>
      </w:r>
    </w:p>
    <w:p w:rsidR="00FE1CAA" w:rsidRPr="00FE1CAA" w:rsidRDefault="00FE1CAA" w:rsidP="00FE1CAA">
      <w:pPr>
        <w:pStyle w:val="Heading1"/>
        <w:pageBreakBefore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240" w:after="120" w:line="264" w:lineRule="auto"/>
        <w:jc w:val="both"/>
        <w:textAlignment w:val="center"/>
        <w:rPr>
          <w:rFonts w:asciiTheme="minorHAnsi" w:hAnsiTheme="minorHAnsi"/>
          <w:b w:val="0"/>
          <w:color w:val="auto"/>
          <w:sz w:val="32"/>
          <w:szCs w:val="32"/>
        </w:rPr>
      </w:pPr>
      <w:r w:rsidRPr="00FE1CAA">
        <w:rPr>
          <w:rFonts w:asciiTheme="minorHAnsi" w:hAnsiTheme="minorHAnsi"/>
          <w:b w:val="0"/>
          <w:color w:val="auto"/>
          <w:sz w:val="32"/>
          <w:szCs w:val="32"/>
        </w:rPr>
        <w:t>Please remember to mute your phones</w:t>
      </w:r>
    </w:p>
    <w:p w:rsidR="00FE1CAA" w:rsidRDefault="00FE1CAA" w:rsidP="00FE1CAA">
      <w:pPr>
        <w:pStyle w:val="Heading1"/>
        <w:pageBreakBefore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240" w:after="120" w:line="264" w:lineRule="auto"/>
        <w:jc w:val="both"/>
        <w:textAlignment w:val="center"/>
        <w:rPr>
          <w:rFonts w:eastAsia="Times New Roman"/>
        </w:rPr>
      </w:pPr>
      <w:r w:rsidRPr="00FE1CAA">
        <w:rPr>
          <w:rFonts w:asciiTheme="minorHAnsi" w:hAnsiTheme="minorHAnsi"/>
          <w:b w:val="0"/>
          <w:color w:val="auto"/>
          <w:sz w:val="32"/>
          <w:szCs w:val="32"/>
        </w:rPr>
        <w:t>The session will be recorded and posted</w:t>
      </w:r>
      <w:r w:rsidR="005F2034">
        <w:rPr>
          <w:rFonts w:asciiTheme="minorHAnsi" w:hAnsiTheme="minorHAnsi"/>
          <w:b w:val="0"/>
          <w:color w:val="auto"/>
          <w:sz w:val="32"/>
          <w:szCs w:val="32"/>
        </w:rPr>
        <w:t xml:space="preserve"> (along with the User Guide)</w:t>
      </w:r>
      <w:r w:rsidRPr="00FE1CAA">
        <w:rPr>
          <w:rFonts w:asciiTheme="minorHAnsi" w:hAnsiTheme="minorHAnsi"/>
          <w:b w:val="0"/>
          <w:color w:val="auto"/>
          <w:sz w:val="32"/>
          <w:szCs w:val="32"/>
        </w:rPr>
        <w:t xml:space="preserve"> to the OneUSG Smart Sheet</w:t>
      </w:r>
      <w:r w:rsidR="008D4A24">
        <w:rPr>
          <w:rFonts w:asciiTheme="minorHAnsi" w:hAnsiTheme="minorHAnsi"/>
          <w:b w:val="0"/>
          <w:color w:val="auto"/>
          <w:sz w:val="32"/>
          <w:szCs w:val="32"/>
        </w:rPr>
        <w:t xml:space="preserve"> </w:t>
      </w:r>
      <w:r w:rsidR="008D4A24">
        <w:t xml:space="preserve"> </w:t>
      </w:r>
      <w:r>
        <w:br w:type="page"/>
      </w:r>
    </w:p>
    <w:p w:rsidR="00FE1CAA" w:rsidRPr="000D3D06" w:rsidRDefault="00FE1CAA" w:rsidP="00FE1CAA">
      <w:pPr>
        <w:pStyle w:val="Heading1"/>
        <w:rPr>
          <w:color w:val="auto"/>
        </w:rPr>
      </w:pPr>
      <w:r w:rsidRPr="000D3D06">
        <w:rPr>
          <w:color w:val="auto"/>
        </w:rPr>
        <w:lastRenderedPageBreak/>
        <w:t>Plan Sponsor Site (PSP)</w:t>
      </w:r>
      <w:r w:rsidRPr="000D3D06">
        <w:rPr>
          <w:noProof/>
          <w:color w:val="auto"/>
        </w:rPr>
        <w:t xml:space="preserve"> – Reporting Tool</w:t>
      </w:r>
    </w:p>
    <w:p w:rsidR="00FE1CAA" w:rsidRPr="00FE1CAA" w:rsidRDefault="00FE1CAA" w:rsidP="00FE1CAA">
      <w:pPr>
        <w:pStyle w:val="Heading7"/>
        <w:rPr>
          <w:rStyle w:val="Strong"/>
          <w:rFonts w:asciiTheme="minorHAnsi" w:hAnsiTheme="minorHAnsi"/>
          <w:sz w:val="28"/>
          <w:szCs w:val="28"/>
        </w:rPr>
      </w:pPr>
      <w:r w:rsidRPr="00FE1CAA">
        <w:rPr>
          <w:rStyle w:val="Strong"/>
          <w:rFonts w:asciiTheme="minorHAnsi" w:hAnsiTheme="minorHAnsi"/>
          <w:sz w:val="28"/>
          <w:szCs w:val="28"/>
        </w:rPr>
        <w:t>Function/Business Purpose: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The Plan Sponsor Portal is a web-based application that is accessed by a separate URL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The Plan Sponsor Portal is used by USG Benefits Practitioners to access reports posted by Alight to USG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Access is restricted to the institutional level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The Plan Sponsor Portal is a ‘Pull’ delivery method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The tool allows you to View, Contribute and Run reports. You cannot delete documents</w:t>
      </w:r>
    </w:p>
    <w:p w:rsidR="00FE1CAA" w:rsidRPr="00FE1CAA" w:rsidRDefault="00FE1CAA" w:rsidP="00FE1CAA">
      <w:pPr>
        <w:pStyle w:val="Numbr1-9DS"/>
        <w:numPr>
          <w:ilvl w:val="0"/>
          <w:numId w:val="10"/>
        </w:numPr>
        <w:rPr>
          <w:rFonts w:asciiTheme="minorHAnsi" w:eastAsia="Times New Roman" w:hAnsiTheme="minorHAnsi" w:cs="Arial"/>
          <w:sz w:val="28"/>
          <w:szCs w:val="28"/>
        </w:rPr>
      </w:pPr>
      <w:r w:rsidRPr="00FE1CAA">
        <w:rPr>
          <w:rFonts w:asciiTheme="minorHAnsi" w:eastAsia="Times New Roman" w:hAnsiTheme="minorHAnsi" w:cs="Arial"/>
          <w:sz w:val="28"/>
          <w:szCs w:val="28"/>
        </w:rPr>
        <w:t>The data results are as of the end of the prior day. It is not real-time data</w:t>
      </w: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eastAsia="Times New Roman" w:cs="Arial"/>
        </w:rPr>
      </w:pPr>
    </w:p>
    <w:p w:rsidR="00FE1CAA" w:rsidRPr="000D3D06" w:rsidRDefault="00FE1CAA" w:rsidP="00FE1CAA">
      <w:pPr>
        <w:pStyle w:val="Heading1"/>
        <w:rPr>
          <w:rFonts w:eastAsia="Times New Roman"/>
          <w:color w:val="auto"/>
        </w:rPr>
      </w:pPr>
      <w:r w:rsidRPr="000D3D06">
        <w:rPr>
          <w:rFonts w:eastAsia="Times New Roman"/>
          <w:color w:val="auto"/>
        </w:rPr>
        <w:lastRenderedPageBreak/>
        <w:t>Logging into the Plan Sponsor Portal</w:t>
      </w:r>
    </w:p>
    <w:p w:rsidR="003834C4" w:rsidRPr="003255A2" w:rsidRDefault="003834C4" w:rsidP="003834C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255A2">
        <w:rPr>
          <w:sz w:val="24"/>
          <w:szCs w:val="24"/>
        </w:rPr>
        <w:t>Access the to PSP  by logging into the</w:t>
      </w:r>
      <w:r w:rsidR="00DD0C6B">
        <w:rPr>
          <w:sz w:val="24"/>
          <w:szCs w:val="24"/>
        </w:rPr>
        <w:t xml:space="preserve"> new OneUSG Fac</w:t>
      </w:r>
      <w:r w:rsidR="008978AD">
        <w:rPr>
          <w:sz w:val="24"/>
          <w:szCs w:val="24"/>
        </w:rPr>
        <w:t>u</w:t>
      </w:r>
      <w:r w:rsidR="00DD0C6B">
        <w:rPr>
          <w:sz w:val="24"/>
          <w:szCs w:val="24"/>
        </w:rPr>
        <w:t>lty and Staff Portal:</w:t>
      </w:r>
    </w:p>
    <w:p w:rsidR="003834C4" w:rsidRPr="003255A2" w:rsidRDefault="003834C4" w:rsidP="003834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55A2">
        <w:t xml:space="preserve"> </w:t>
      </w:r>
      <w:r w:rsidRPr="003255A2">
        <w:rPr>
          <w:sz w:val="24"/>
          <w:szCs w:val="24"/>
        </w:rPr>
        <w:t xml:space="preserve">URL: </w:t>
      </w:r>
      <w:hyperlink r:id="rId8" w:history="1">
        <w:r w:rsidRPr="003255A2">
          <w:rPr>
            <w:rStyle w:val="Hyperlink"/>
            <w:color w:val="auto"/>
            <w:sz w:val="24"/>
            <w:szCs w:val="24"/>
          </w:rPr>
          <w:t>http://www.usg.edu/oneusg_connect/</w:t>
        </w:r>
      </w:hyperlink>
    </w:p>
    <w:p w:rsidR="003834C4" w:rsidRPr="003255A2" w:rsidRDefault="003834C4" w:rsidP="003834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55A2">
        <w:rPr>
          <w:sz w:val="24"/>
          <w:szCs w:val="24"/>
        </w:rPr>
        <w:t>Use the Path: Practitioner Services -&gt; Benefits -&gt; Select tool from accordion list</w:t>
      </w:r>
    </w:p>
    <w:p w:rsidR="003834C4" w:rsidRDefault="003834C4" w:rsidP="003834C4">
      <w:pPr>
        <w:pStyle w:val="ListParagraph"/>
        <w:rPr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4E6BE135" wp14:editId="21D82CA1">
            <wp:extent cx="5943600" cy="1545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C4" w:rsidRDefault="003834C4" w:rsidP="003834C4">
      <w:pPr>
        <w:pStyle w:val="ListParagraph"/>
        <w:rPr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764CDF8F" wp14:editId="3A0EFA88">
            <wp:extent cx="5943600" cy="17443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C4" w:rsidRPr="003834C4" w:rsidRDefault="003834C4" w:rsidP="003834C4">
      <w:pPr>
        <w:pStyle w:val="ListParagraph"/>
        <w:rPr>
          <w:color w:val="1F497D"/>
          <w:sz w:val="24"/>
          <w:szCs w:val="24"/>
        </w:rPr>
      </w:pPr>
    </w:p>
    <w:p w:rsidR="00FE1CAA" w:rsidRPr="003255A2" w:rsidRDefault="00FE1CAA" w:rsidP="003834C4">
      <w:pPr>
        <w:pStyle w:val="Numbr1-9DS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3255A2">
        <w:rPr>
          <w:rFonts w:asciiTheme="minorHAnsi" w:hAnsiTheme="minorHAnsi"/>
          <w:sz w:val="24"/>
          <w:szCs w:val="24"/>
        </w:rPr>
        <w:t xml:space="preserve">To access the PSP you will </w:t>
      </w:r>
      <w:r w:rsidR="003834C4" w:rsidRPr="003255A2">
        <w:rPr>
          <w:rFonts w:asciiTheme="minorHAnsi" w:hAnsiTheme="minorHAnsi"/>
          <w:sz w:val="24"/>
          <w:szCs w:val="24"/>
        </w:rPr>
        <w:t>click the URL</w:t>
      </w:r>
      <w:r w:rsidRPr="003255A2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Pr="003255A2">
          <w:rPr>
            <w:rStyle w:val="Hyperlink"/>
            <w:rFonts w:asciiTheme="minorHAnsi" w:eastAsia="Times New Roman" w:hAnsiTheme="minorHAnsi" w:cs="Helv"/>
            <w:color w:val="auto"/>
            <w:sz w:val="24"/>
            <w:szCs w:val="24"/>
          </w:rPr>
          <w:t>http://www.hewitt.com/psp</w:t>
        </w:r>
      </w:hyperlink>
      <w:r w:rsidRPr="003255A2">
        <w:rPr>
          <w:rFonts w:asciiTheme="minorHAnsi" w:eastAsia="Times New Roman" w:hAnsiTheme="minorHAnsi" w:cs="Helv"/>
          <w:sz w:val="24"/>
          <w:szCs w:val="24"/>
        </w:rPr>
        <w:t xml:space="preserve"> </w:t>
      </w:r>
      <w:r w:rsidR="003834C4" w:rsidRPr="003255A2">
        <w:rPr>
          <w:rFonts w:asciiTheme="minorHAnsi" w:hAnsiTheme="minorHAnsi"/>
          <w:sz w:val="24"/>
          <w:szCs w:val="24"/>
        </w:rPr>
        <w:t>and the</w:t>
      </w:r>
      <w:r w:rsidRPr="003255A2">
        <w:rPr>
          <w:rFonts w:asciiTheme="minorHAnsi" w:hAnsiTheme="minorHAnsi"/>
          <w:sz w:val="24"/>
          <w:szCs w:val="24"/>
        </w:rPr>
        <w:t xml:space="preserve"> below log on page will appear:</w:t>
      </w:r>
    </w:p>
    <w:p w:rsidR="00FE1CAA" w:rsidRPr="003255A2" w:rsidRDefault="00FE1CAA" w:rsidP="008D4A24">
      <w:pPr>
        <w:pStyle w:val="Numbr1-9DS"/>
        <w:numPr>
          <w:ilvl w:val="0"/>
          <w:numId w:val="9"/>
        </w:numPr>
        <w:spacing w:after="0"/>
        <w:ind w:left="1440"/>
        <w:rPr>
          <w:rFonts w:asciiTheme="minorHAnsi" w:hAnsiTheme="minorHAnsi"/>
          <w:sz w:val="24"/>
          <w:szCs w:val="24"/>
        </w:rPr>
      </w:pPr>
      <w:r w:rsidRPr="003255A2">
        <w:rPr>
          <w:rFonts w:asciiTheme="minorHAnsi" w:hAnsiTheme="minorHAnsi"/>
          <w:sz w:val="24"/>
          <w:szCs w:val="24"/>
        </w:rPr>
        <w:t>Enter your email address</w:t>
      </w:r>
    </w:p>
    <w:p w:rsidR="00FE1CAA" w:rsidRPr="003255A2" w:rsidRDefault="00FE1CAA" w:rsidP="008D4A24">
      <w:pPr>
        <w:pStyle w:val="Numbr1-9DS"/>
        <w:numPr>
          <w:ilvl w:val="0"/>
          <w:numId w:val="0"/>
        </w:numPr>
        <w:spacing w:after="0"/>
        <w:ind w:left="1440"/>
        <w:rPr>
          <w:rFonts w:asciiTheme="minorHAnsi" w:hAnsiTheme="minorHAnsi"/>
          <w:sz w:val="24"/>
          <w:szCs w:val="24"/>
        </w:rPr>
      </w:pPr>
    </w:p>
    <w:p w:rsidR="00FE1CAA" w:rsidRPr="003255A2" w:rsidRDefault="00FE1CAA" w:rsidP="008D4A24">
      <w:pPr>
        <w:pStyle w:val="Numbr1-9DS"/>
        <w:numPr>
          <w:ilvl w:val="0"/>
          <w:numId w:val="9"/>
        </w:numPr>
        <w:spacing w:after="0"/>
        <w:ind w:left="1440"/>
        <w:rPr>
          <w:rFonts w:asciiTheme="minorHAnsi" w:hAnsiTheme="minorHAnsi"/>
          <w:sz w:val="24"/>
          <w:szCs w:val="24"/>
        </w:rPr>
      </w:pPr>
      <w:r w:rsidRPr="003255A2">
        <w:rPr>
          <w:rFonts w:asciiTheme="minorHAnsi" w:hAnsiTheme="minorHAnsi"/>
          <w:sz w:val="24"/>
          <w:szCs w:val="24"/>
        </w:rPr>
        <w:t>Click ‘Forgot my Password</w:t>
      </w:r>
    </w:p>
    <w:p w:rsidR="00004CB7" w:rsidRDefault="00004CB7" w:rsidP="005B402B"/>
    <w:p w:rsidR="00FE1CAA" w:rsidRDefault="00FE1CAA" w:rsidP="00FE1CAA">
      <w:pPr>
        <w:ind w:left="720"/>
      </w:pPr>
      <w:r>
        <w:rPr>
          <w:noProof/>
        </w:rPr>
        <w:drawing>
          <wp:inline distT="0" distB="0" distL="0" distR="0" wp14:anchorId="2F555E02" wp14:editId="79043AA8">
            <wp:extent cx="5018929" cy="2311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1866" cy="231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ind w:left="720"/>
      </w:pPr>
      <w:r>
        <w:rPr>
          <w:noProof/>
        </w:rPr>
        <w:lastRenderedPageBreak/>
        <w:drawing>
          <wp:inline distT="0" distB="0" distL="0" distR="0" wp14:anchorId="324B2742" wp14:editId="082DDBEF">
            <wp:extent cx="2355492" cy="1312513"/>
            <wp:effectExtent l="0" t="0" r="698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7168" cy="13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FE1CAA" w:rsidP="005B402B"/>
    <w:p w:rsidR="00FE1CAA" w:rsidRPr="00FE1CAA" w:rsidRDefault="00FE1CAA" w:rsidP="00FE1CAA">
      <w:pPr>
        <w:pStyle w:val="Numbr1-9DS"/>
        <w:numPr>
          <w:ilvl w:val="0"/>
          <w:numId w:val="0"/>
        </w:numPr>
        <w:ind w:left="360" w:hanging="360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First time users may see this page – Click ‘I Agree’</w:t>
      </w:r>
    </w:p>
    <w:p w:rsidR="00FE1CAA" w:rsidRDefault="00FE1CAA" w:rsidP="005B402B"/>
    <w:p w:rsidR="00FE1CAA" w:rsidRDefault="00FE1CAA" w:rsidP="00FE1CAA">
      <w:pPr>
        <w:ind w:left="720"/>
      </w:pPr>
      <w:r>
        <w:rPr>
          <w:noProof/>
        </w:rPr>
        <w:drawing>
          <wp:inline distT="0" distB="0" distL="0" distR="0" wp14:anchorId="625B01D7" wp14:editId="586280C7">
            <wp:extent cx="4045305" cy="1594713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1540" cy="16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Pr="00FE1CAA" w:rsidRDefault="00FE1CAA" w:rsidP="00FE1CAA">
      <w:pPr>
        <w:pStyle w:val="Numbr1-9DS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 xml:space="preserve">Once you are logged in, your home page should appear similar to the screen print below. The Home page provides you with Organizational level data at a glance (i.e. enrollment data).  </w:t>
      </w:r>
      <w:r w:rsidRPr="00FE1CAA">
        <w:rPr>
          <w:rFonts w:asciiTheme="minorHAnsi" w:hAnsiTheme="minorHAnsi"/>
          <w:sz w:val="24"/>
          <w:szCs w:val="24"/>
          <w:highlight w:val="yellow"/>
        </w:rPr>
        <w:t>Use “personalize” to change your view.</w:t>
      </w:r>
      <w:r w:rsidRPr="00FE1CAA">
        <w:rPr>
          <w:rFonts w:asciiTheme="minorHAnsi" w:hAnsiTheme="minorHAnsi"/>
          <w:sz w:val="24"/>
          <w:szCs w:val="24"/>
        </w:rPr>
        <w:t xml:space="preserve">  Other information that can be found in the home page includes:</w:t>
      </w:r>
    </w:p>
    <w:p w:rsidR="00FE1CAA" w:rsidRPr="00FE1CAA" w:rsidRDefault="00FE1CAA" w:rsidP="00FE1CAA">
      <w:pPr>
        <w:pStyle w:val="Numbr1-9DS"/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The last 5 reports you reviewed</w:t>
      </w:r>
    </w:p>
    <w:p w:rsidR="00FE1CAA" w:rsidRDefault="00FE1CAA" w:rsidP="00FE1CAA">
      <w:pPr>
        <w:pStyle w:val="Numbr1-9DS"/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Key Results data (i.e. Call Center Wait times)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spacing w:after="0"/>
        <w:ind w:left="720"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F32CCE" wp14:editId="6D0AC4DB">
            <wp:extent cx="5758277" cy="42350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736" cy="42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pStyle w:val="Heading1"/>
      </w:pPr>
      <w:r w:rsidRPr="00BE471D">
        <w:rPr>
          <w:rStyle w:val="Heading2Char"/>
          <w:color w:val="auto"/>
        </w:rPr>
        <w:lastRenderedPageBreak/>
        <w:t>Navigate the site using the menu bar located at the top of your screen</w:t>
      </w:r>
    </w:p>
    <w:p w:rsidR="00004CB7" w:rsidRDefault="00FE1CAA" w:rsidP="00FE1CAA">
      <w:pPr>
        <w:pStyle w:val="TOCHeader"/>
      </w:pPr>
      <w:r>
        <w:rPr>
          <w:noProof/>
        </w:rPr>
        <w:drawing>
          <wp:inline distT="0" distB="0" distL="0" distR="0" wp14:anchorId="512F0696" wp14:editId="141C7A18">
            <wp:extent cx="59436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The User Guide is a helpful tool in providing you with very detailed information about the site</w:t>
      </w: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Standard Pre-Defined Reports - The report model is based on the ‘pull’ method to access the reports. To access the pre-defined standard reports select &gt;&gt; “</w:t>
      </w:r>
      <w:r w:rsidRPr="00FE1CAA">
        <w:rPr>
          <w:rFonts w:asciiTheme="minorHAnsi" w:hAnsiTheme="minorHAnsi"/>
          <w:b/>
          <w:sz w:val="24"/>
          <w:szCs w:val="24"/>
        </w:rPr>
        <w:t xml:space="preserve">Reports” where All of the folders will now appear. </w:t>
      </w:r>
      <w:r w:rsidRPr="00FE1CAA">
        <w:rPr>
          <w:rFonts w:asciiTheme="minorHAnsi" w:hAnsiTheme="minorHAnsi"/>
          <w:sz w:val="24"/>
          <w:szCs w:val="24"/>
        </w:rPr>
        <w:t>Select the key folder(s) you wish to view (hover over the description for details):</w:t>
      </w:r>
    </w:p>
    <w:p w:rsidR="00FE1CAA" w:rsidRPr="00FE1CAA" w:rsidRDefault="00FE1CAA" w:rsidP="00FE1CAA">
      <w:pPr>
        <w:pStyle w:val="Numbr1-9DS"/>
        <w:numPr>
          <w:ilvl w:val="2"/>
          <w:numId w:val="8"/>
        </w:numPr>
        <w:spacing w:after="0"/>
        <w:ind w:left="2347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Health &amp; Welfare – reports provide you with enrollment data for all Health plans, dental plans and FSA</w:t>
      </w:r>
    </w:p>
    <w:p w:rsidR="00FE1CAA" w:rsidRPr="00FE1CAA" w:rsidRDefault="00FE1CAA" w:rsidP="00FE1CAA">
      <w:pPr>
        <w:pStyle w:val="Numbr1-9DS"/>
        <w:numPr>
          <w:ilvl w:val="2"/>
          <w:numId w:val="8"/>
        </w:numPr>
        <w:spacing w:after="0"/>
        <w:ind w:left="2347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General – Data related to communication, events and population</w:t>
      </w:r>
    </w:p>
    <w:p w:rsidR="00FE1CAA" w:rsidRPr="00FE1CAA" w:rsidRDefault="00FE1CAA" w:rsidP="00FE1CAA">
      <w:pPr>
        <w:pStyle w:val="Numbr1-9DS"/>
        <w:numPr>
          <w:ilvl w:val="2"/>
          <w:numId w:val="8"/>
        </w:numPr>
        <w:spacing w:after="0"/>
        <w:ind w:left="2347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Delivery Measure – Channel methods for enrollment (benefits portal or Call Center)</w:t>
      </w:r>
    </w:p>
    <w:p w:rsidR="00FE1CAA" w:rsidRPr="00FE1CAA" w:rsidRDefault="00FE1CAA" w:rsidP="00FE1CAA">
      <w:pPr>
        <w:pStyle w:val="Numbr1-9DS"/>
        <w:numPr>
          <w:ilvl w:val="2"/>
          <w:numId w:val="8"/>
        </w:numPr>
        <w:spacing w:after="0"/>
        <w:ind w:left="2347"/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Shared – Reports that have been shared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spacing w:after="0"/>
        <w:ind w:left="2347"/>
        <w:rPr>
          <w:rFonts w:asciiTheme="minorHAnsi" w:hAnsiTheme="minorHAnsi"/>
          <w:sz w:val="24"/>
          <w:szCs w:val="24"/>
        </w:rPr>
      </w:pP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 xml:space="preserve">Automatic Reports* – Batch reports that do not require a QC process prior to posting and are automatically sent directly to the Plan Sponsor Portal.  </w:t>
      </w:r>
      <w:r w:rsidRPr="00FE1CAA">
        <w:rPr>
          <w:rFonts w:asciiTheme="minorHAnsi" w:hAnsiTheme="minorHAnsi"/>
          <w:b/>
          <w:sz w:val="24"/>
          <w:szCs w:val="24"/>
        </w:rPr>
        <w:t>To</w:t>
      </w:r>
      <w:r w:rsidRPr="00FE1CAA">
        <w:rPr>
          <w:rFonts w:asciiTheme="minorHAnsi" w:hAnsiTheme="minorHAnsi"/>
          <w:sz w:val="24"/>
          <w:szCs w:val="24"/>
        </w:rPr>
        <w:t xml:space="preserve"> </w:t>
      </w:r>
      <w:r w:rsidRPr="00FE1CAA">
        <w:rPr>
          <w:rFonts w:asciiTheme="minorHAnsi" w:hAnsiTheme="minorHAnsi"/>
          <w:b/>
          <w:sz w:val="24"/>
          <w:szCs w:val="24"/>
        </w:rPr>
        <w:t>Access the Automatic report &gt;&gt;Reports&gt;&gt;TBA System Reports</w:t>
      </w: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User Defined Reports – Query Tools used to create your owner reports</w:t>
      </w: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>Data Dictionary – Search tool that will assist you with finding where data is stored</w:t>
      </w:r>
    </w:p>
    <w:p w:rsidR="00FE1CAA" w:rsidRPr="00FE1CAA" w:rsidRDefault="00FE1CAA" w:rsidP="00FE1CAA">
      <w:pPr>
        <w:pStyle w:val="Numbr1-9DS"/>
        <w:numPr>
          <w:ilvl w:val="1"/>
          <w:numId w:val="8"/>
        </w:numPr>
        <w:rPr>
          <w:rFonts w:asciiTheme="minorHAnsi" w:hAnsiTheme="minorHAnsi"/>
          <w:b/>
          <w:sz w:val="24"/>
          <w:szCs w:val="24"/>
        </w:rPr>
      </w:pPr>
      <w:r w:rsidRPr="00FE1CAA">
        <w:rPr>
          <w:rFonts w:asciiTheme="minorHAnsi" w:hAnsiTheme="minorHAnsi"/>
          <w:sz w:val="24"/>
          <w:szCs w:val="24"/>
        </w:rPr>
        <w:t xml:space="preserve">Manual Reports** – Customer and Batch reports that will require a QC process prior to posting. These reports will be manually posted by the Alight Process owner once the QC process is completed.  </w:t>
      </w:r>
      <w:r w:rsidRPr="00FE1CAA">
        <w:rPr>
          <w:rFonts w:asciiTheme="minorHAnsi" w:hAnsiTheme="minorHAnsi"/>
          <w:b/>
          <w:sz w:val="24"/>
          <w:szCs w:val="24"/>
        </w:rPr>
        <w:t>To Access the reports &gt;&gt;Team Space&gt;&gt; Opens up share point&gt;&gt;Health and Benefits&gt;&gt;University System of Georgia&gt;&gt;Your Folder (see steps below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sz w:val="24"/>
          <w:szCs w:val="24"/>
        </w:rPr>
      </w:pPr>
      <w:r w:rsidRPr="00FE1CAA">
        <w:rPr>
          <w:rFonts w:asciiTheme="minorHAnsi" w:hAnsiTheme="minorHAnsi"/>
          <w:b/>
          <w:sz w:val="24"/>
          <w:szCs w:val="24"/>
        </w:rPr>
        <w:t>*Note: You will not use the YSA folder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sz w:val="24"/>
          <w:szCs w:val="24"/>
        </w:rPr>
      </w:pPr>
      <w:r w:rsidRPr="00FE1CAA">
        <w:rPr>
          <w:rFonts w:asciiTheme="minorHAnsi" w:hAnsiTheme="minorHAnsi"/>
          <w:b/>
          <w:sz w:val="24"/>
          <w:szCs w:val="24"/>
        </w:rPr>
        <w:t>**See Appendix A for Reports Inventory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noProof/>
          <w:sz w:val="24"/>
          <w:szCs w:val="24"/>
        </w:rPr>
      </w:pPr>
      <w:r w:rsidRPr="00FE1CAA">
        <w:rPr>
          <w:rFonts w:asciiTheme="minorHAnsi" w:hAnsiTheme="minorHAnsi"/>
          <w:b/>
          <w:noProof/>
          <w:sz w:val="24"/>
          <w:szCs w:val="24"/>
        </w:rPr>
        <w:t>Landing Page</w:t>
      </w:r>
    </w:p>
    <w:p w:rsid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noProof/>
          <w:sz w:val="24"/>
          <w:szCs w:val="24"/>
        </w:rPr>
      </w:pPr>
      <w:r w:rsidRPr="00FE1CAA">
        <w:rPr>
          <w:rFonts w:asciiTheme="minorHAnsi" w:hAnsiTheme="minorHAnsi"/>
          <w:b/>
          <w:noProof/>
          <w:sz w:val="24"/>
          <w:szCs w:val="24"/>
        </w:rPr>
        <w:t>Note: You will only see what you have access to</w:t>
      </w:r>
    </w:p>
    <w:p w:rsid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8496C7" wp14:editId="309922A4">
            <wp:extent cx="5411359" cy="2150668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2769" cy="215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noProof/>
          <w:sz w:val="24"/>
          <w:szCs w:val="24"/>
        </w:rPr>
      </w:pPr>
    </w:p>
    <w:p w:rsidR="00FE1CAA" w:rsidRPr="00FE1CAA" w:rsidRDefault="00FE1CAA" w:rsidP="00FE1CAA">
      <w:pPr>
        <w:pStyle w:val="Heading1"/>
      </w:pPr>
      <w:r>
        <w:lastRenderedPageBreak/>
        <w:t>Viewing/Downloading your Document/Reports</w:t>
      </w:r>
    </w:p>
    <w:p w:rsidR="00FE1CAA" w:rsidRPr="00FE1CAA" w:rsidRDefault="00FE1CAA" w:rsidP="00FE1CAA">
      <w:pPr>
        <w:pStyle w:val="Numbr1-9DS"/>
        <w:numPr>
          <w:ilvl w:val="0"/>
          <w:numId w:val="0"/>
        </w:numPr>
        <w:ind w:left="720"/>
        <w:rPr>
          <w:rFonts w:asciiTheme="minorHAnsi" w:hAnsiTheme="minorHAnsi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DD2B8F4" wp14:editId="180E5E81">
            <wp:extent cx="5943600" cy="3552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pStyle w:val="Heading1"/>
      </w:pPr>
      <w:r>
        <w:lastRenderedPageBreak/>
        <w:t>Contributing – Uploading a Document/File</w:t>
      </w:r>
    </w:p>
    <w:p w:rsidR="00FE1CAA" w:rsidRPr="00FE1CAA" w:rsidRDefault="00FE1CAA" w:rsidP="00FE1CAA">
      <w:r>
        <w:rPr>
          <w:noProof/>
        </w:rPr>
        <w:drawing>
          <wp:inline distT="0" distB="0" distL="0" distR="0" wp14:anchorId="7A4C4A0F" wp14:editId="5BC2216D">
            <wp:extent cx="5943600" cy="1932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FE1CAA" w:rsidP="00FE1CAA">
      <w:r>
        <w:rPr>
          <w:noProof/>
        </w:rPr>
        <w:drawing>
          <wp:inline distT="0" distB="0" distL="0" distR="0" wp14:anchorId="418935BA" wp14:editId="47DF0653">
            <wp:extent cx="5559972" cy="290413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117" cy="290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Pr="00FE1CAA" w:rsidRDefault="00FE1CAA" w:rsidP="00FE1CAA">
      <w:pPr>
        <w:rPr>
          <w:sz w:val="24"/>
          <w:szCs w:val="24"/>
        </w:rPr>
      </w:pPr>
    </w:p>
    <w:p w:rsidR="00FE1CAA" w:rsidRPr="00FE1CAA" w:rsidRDefault="00FE1CAA" w:rsidP="00FE1CAA">
      <w:pPr>
        <w:rPr>
          <w:sz w:val="24"/>
          <w:szCs w:val="24"/>
        </w:rPr>
      </w:pPr>
      <w:r w:rsidRPr="00FE1CAA">
        <w:rPr>
          <w:sz w:val="24"/>
          <w:szCs w:val="24"/>
        </w:rPr>
        <w:t>Or Drag and Drop</w:t>
      </w:r>
    </w:p>
    <w:p w:rsidR="00FE1CAA" w:rsidRPr="00FE1CAA" w:rsidRDefault="00FE1CAA" w:rsidP="00FE1CAA">
      <w:r>
        <w:rPr>
          <w:noProof/>
        </w:rPr>
        <w:drawing>
          <wp:inline distT="0" distB="0" distL="0" distR="0" wp14:anchorId="52026B41" wp14:editId="41D972EE">
            <wp:extent cx="5943600" cy="1899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AA" w:rsidRDefault="00B1458A" w:rsidP="00FE1CAA">
      <w:pPr>
        <w:pStyle w:val="Heading1"/>
      </w:pPr>
      <w:r>
        <w:lastRenderedPageBreak/>
        <w:t>Appendix A – Report Inventory</w:t>
      </w:r>
    </w:p>
    <w:p w:rsidR="00B1458A" w:rsidRDefault="00B1458A" w:rsidP="00B1458A"/>
    <w:p w:rsidR="00B1458A" w:rsidRDefault="00B1458A">
      <w:pPr>
        <w:spacing w:after="200"/>
      </w:pPr>
      <w:r>
        <w:t>TBD</w:t>
      </w:r>
    </w:p>
    <w:p w:rsidR="00B1458A" w:rsidRDefault="00B1458A" w:rsidP="00B1458A">
      <w:pPr>
        <w:pStyle w:val="Heading1"/>
      </w:pPr>
      <w:r>
        <w:lastRenderedPageBreak/>
        <w:t>Appendix B – Institution Index</w:t>
      </w:r>
    </w:p>
    <w:tbl>
      <w:tblPr>
        <w:tblW w:w="9183" w:type="dxa"/>
        <w:tblInd w:w="93" w:type="dxa"/>
        <w:tblBorders>
          <w:insideH w:val="single" w:sz="4" w:space="0" w:color="4D4F53"/>
        </w:tblBorders>
        <w:tblLook w:val="04A0" w:firstRow="1" w:lastRow="0" w:firstColumn="1" w:lastColumn="0" w:noHBand="0" w:noVBand="1"/>
      </w:tblPr>
      <w:tblGrid>
        <w:gridCol w:w="5140"/>
        <w:gridCol w:w="2043"/>
        <w:gridCol w:w="2000"/>
      </w:tblGrid>
      <w:tr w:rsidR="00B1458A" w:rsidRPr="007C47BD" w:rsidTr="00C73152">
        <w:trPr>
          <w:cantSplit/>
          <w:tblHeader/>
        </w:trPr>
        <w:tc>
          <w:tcPr>
            <w:tcW w:w="5140" w:type="dxa"/>
            <w:tcBorders>
              <w:top w:val="nil"/>
              <w:bottom w:val="single" w:sz="4" w:space="0" w:color="4D4F53"/>
            </w:tcBorders>
            <w:shd w:val="clear" w:color="auto" w:fill="auto"/>
            <w:noWrap/>
            <w:vAlign w:val="bottom"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b/>
                <w:bCs/>
                <w:color w:val="000000"/>
              </w:rPr>
            </w:pPr>
            <w:r w:rsidRPr="007C47BD">
              <w:rPr>
                <w:rFonts w:eastAsia="Times New Roman" w:cs="Arial"/>
                <w:b/>
                <w:bCs/>
                <w:color w:val="000000"/>
              </w:rPr>
              <w:t>Institution</w:t>
            </w:r>
          </w:p>
        </w:tc>
        <w:tc>
          <w:tcPr>
            <w:tcW w:w="2043" w:type="dxa"/>
            <w:tcBorders>
              <w:top w:val="nil"/>
              <w:bottom w:val="single" w:sz="4" w:space="0" w:color="4D4F53"/>
            </w:tcBorders>
            <w:shd w:val="clear" w:color="auto" w:fill="auto"/>
            <w:noWrap/>
            <w:vAlign w:val="bottom"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b/>
                <w:bCs/>
                <w:color w:val="000000"/>
              </w:rPr>
            </w:pPr>
            <w:r w:rsidRPr="007C47BD">
              <w:rPr>
                <w:rFonts w:eastAsia="Times New Roman" w:cs="Arial"/>
                <w:b/>
                <w:bCs/>
                <w:color w:val="000000"/>
              </w:rPr>
              <w:t>Company Code</w:t>
            </w:r>
          </w:p>
        </w:tc>
        <w:tc>
          <w:tcPr>
            <w:tcW w:w="2000" w:type="dxa"/>
            <w:tcBorders>
              <w:top w:val="nil"/>
              <w:bottom w:val="single" w:sz="4" w:space="0" w:color="4D4F53"/>
            </w:tcBorders>
            <w:shd w:val="clear" w:color="auto" w:fill="auto"/>
            <w:noWrap/>
            <w:vAlign w:val="bottom"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b/>
                <w:bCs/>
                <w:color w:val="000000"/>
              </w:rPr>
            </w:pPr>
            <w:r w:rsidRPr="007C47BD">
              <w:rPr>
                <w:rFonts w:eastAsia="Times New Roman" w:cs="Arial"/>
                <w:b/>
                <w:bCs/>
                <w:color w:val="000000"/>
              </w:rPr>
              <w:t>HR System Owner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tcBorders>
              <w:top w:val="single" w:sz="4" w:space="0" w:color="4D4F53"/>
            </w:tcBorders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The University of Georgia</w:t>
            </w:r>
          </w:p>
        </w:tc>
        <w:tc>
          <w:tcPr>
            <w:tcW w:w="2043" w:type="dxa"/>
            <w:tcBorders>
              <w:top w:val="single" w:sz="4" w:space="0" w:color="4D4F53"/>
            </w:tcBorders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180</w:t>
            </w:r>
          </w:p>
        </w:tc>
        <w:tc>
          <w:tcPr>
            <w:tcW w:w="2000" w:type="dxa"/>
            <w:tcBorders>
              <w:top w:val="single" w:sz="4" w:space="0" w:color="4D4F53"/>
            </w:tcBorders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UGA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Institute of Technology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GT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Augusta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120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AU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Armstrong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240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Clayton State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280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Columbus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300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Fort Valley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330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College &amp;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360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Southern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390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Gwinnett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Southwestern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420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Kennesaw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430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Savannah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480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Valdosta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510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University of North Georgia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530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University of West Georgia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540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Abraham Baldwin Agricultural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570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Atlanta Metropolitan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610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College of Coastal Georgia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630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Dalton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690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Darton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220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East Georgia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720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Georgia Highlands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730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Gordon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760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Middle Georgia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830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South Georgia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880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Board of Regents of the University System of Georgia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980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OneUSG</w:t>
            </w:r>
          </w:p>
        </w:tc>
      </w:tr>
      <w:tr w:rsidR="00B1458A" w:rsidRPr="007C47BD" w:rsidTr="00C73152">
        <w:trPr>
          <w:cantSplit/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Bainbridge State College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620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  <w:tr w:rsidR="00B1458A" w:rsidRPr="007C47BD" w:rsidTr="00C73152">
        <w:trPr>
          <w:cantSplit/>
          <w:trHeight w:val="70"/>
        </w:trPr>
        <w:tc>
          <w:tcPr>
            <w:tcW w:w="514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Albany State University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220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B1458A" w:rsidRPr="007C47BD" w:rsidRDefault="00B1458A" w:rsidP="00C73152">
            <w:pPr>
              <w:spacing w:before="40"/>
              <w:rPr>
                <w:rFonts w:eastAsia="Times New Roman" w:cs="Arial"/>
                <w:color w:val="000000"/>
              </w:rPr>
            </w:pPr>
            <w:r w:rsidRPr="007C47BD">
              <w:rPr>
                <w:rFonts w:eastAsia="Times New Roman" w:cs="Arial"/>
                <w:color w:val="000000"/>
              </w:rPr>
              <w:t>ADP</w:t>
            </w:r>
          </w:p>
        </w:tc>
      </w:tr>
    </w:tbl>
    <w:p w:rsidR="00B1458A" w:rsidRPr="00B1458A" w:rsidRDefault="00B1458A" w:rsidP="00B1458A"/>
    <w:bookmarkEnd w:id="0"/>
    <w:p w:rsidR="00B1458A" w:rsidRDefault="00B1458A" w:rsidP="00B1458A"/>
    <w:p w:rsidR="005F2034" w:rsidRDefault="005F2034" w:rsidP="00B1458A"/>
    <w:p w:rsidR="005F2034" w:rsidRDefault="005F2034" w:rsidP="00B1458A"/>
    <w:p w:rsidR="005F2034" w:rsidRPr="00B1458A" w:rsidRDefault="005F2034" w:rsidP="00B1458A"/>
    <w:sectPr w:rsidR="005F2034" w:rsidRPr="00B1458A" w:rsidSect="005E5D2D">
      <w:footerReference w:type="first" r:id="rId22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4B" w:rsidRDefault="00BB564B" w:rsidP="005B402B">
      <w:r>
        <w:separator/>
      </w:r>
    </w:p>
  </w:endnote>
  <w:endnote w:type="continuationSeparator" w:id="0">
    <w:p w:rsidR="00BB564B" w:rsidRDefault="00BB564B" w:rsidP="005B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Thrive Elliot">
    <w:altName w:val="Nyala"/>
    <w:panose1 w:val="00000000000000000000"/>
    <w:charset w:val="00"/>
    <w:family w:val="roman"/>
    <w:notTrueType/>
    <w:pitch w:val="variable"/>
    <w:sig w:usb0="00000001" w:usb1="4000207A" w:usb2="00000000" w:usb3="00000000" w:csb0="00000093" w:csb1="00000000"/>
  </w:font>
  <w:font w:name="FS Thrive Elliot Heavy">
    <w:altName w:val="Times New Roman"/>
    <w:panose1 w:val="00000000000000000000"/>
    <w:charset w:val="00"/>
    <w:family w:val="roman"/>
    <w:notTrueType/>
    <w:pitch w:val="variable"/>
    <w:sig w:usb0="00000001" w:usb1="4000207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Elliot Pro Thin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Elliot Pro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 Heavy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ook w:val="04A0" w:firstRow="1" w:lastRow="0" w:firstColumn="1" w:lastColumn="0" w:noHBand="0" w:noVBand="1"/>
    </w:tblPr>
    <w:tblGrid>
      <w:gridCol w:w="4909"/>
      <w:gridCol w:w="5009"/>
    </w:tblGrid>
    <w:tr w:rsidR="0007208A" w:rsidTr="0007208A">
      <w:tc>
        <w:tcPr>
          <w:tcW w:w="4909" w:type="dxa"/>
        </w:tcPr>
        <w:p w:rsidR="0007208A" w:rsidRPr="00E74285" w:rsidRDefault="004A6699" w:rsidP="005B402B">
          <w:r w:rsidRPr="00E74285">
            <w:t>Risk. Reinsurance. Human Resources.</w:t>
          </w:r>
        </w:p>
      </w:tc>
      <w:tc>
        <w:tcPr>
          <w:tcW w:w="5009" w:type="dxa"/>
        </w:tcPr>
        <w:p w:rsidR="0007208A" w:rsidRDefault="004A6699" w:rsidP="005B402B">
          <w:pPr>
            <w:rPr>
              <w:rFonts w:cs="Arial"/>
              <w:sz w:val="17"/>
              <w:szCs w:val="17"/>
            </w:rPr>
          </w:pPr>
          <w:r w:rsidRPr="002D4C05">
            <w:fldChar w:fldCharType="begin"/>
          </w:r>
          <w:r w:rsidRPr="002D4C05">
            <w:instrText xml:space="preserve"> PAGE   \* MERGEFORMAT </w:instrText>
          </w:r>
          <w:r w:rsidRPr="002D4C05">
            <w:fldChar w:fldCharType="separate"/>
          </w:r>
          <w:r>
            <w:rPr>
              <w:noProof/>
            </w:rPr>
            <w:t>2</w:t>
          </w:r>
          <w:r w:rsidRPr="002D4C05">
            <w:rPr>
              <w:noProof/>
            </w:rPr>
            <w:fldChar w:fldCharType="end"/>
          </w:r>
        </w:p>
      </w:tc>
    </w:tr>
  </w:tbl>
  <w:p w:rsidR="00441635" w:rsidRDefault="00BB564B" w:rsidP="005B402B"/>
  <w:p w:rsidR="00441635" w:rsidRPr="001440FD" w:rsidRDefault="00BB564B" w:rsidP="005B4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4B" w:rsidRDefault="00BB564B" w:rsidP="005B402B">
      <w:r>
        <w:separator/>
      </w:r>
    </w:p>
  </w:footnote>
  <w:footnote w:type="continuationSeparator" w:id="0">
    <w:p w:rsidR="00BB564B" w:rsidRDefault="00BB564B" w:rsidP="005B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2223"/>
    <w:multiLevelType w:val="hybridMultilevel"/>
    <w:tmpl w:val="C8608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7B8"/>
    <w:multiLevelType w:val="hybridMultilevel"/>
    <w:tmpl w:val="4058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FE5"/>
    <w:multiLevelType w:val="hybridMultilevel"/>
    <w:tmpl w:val="A69C5BF2"/>
    <w:lvl w:ilvl="0" w:tplc="77243A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965B7"/>
    <w:multiLevelType w:val="hybridMultilevel"/>
    <w:tmpl w:val="00DEA1FA"/>
    <w:lvl w:ilvl="0" w:tplc="99EA288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D2A"/>
    <w:multiLevelType w:val="multilevel"/>
    <w:tmpl w:val="A4667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1627"/>
        </w:tabs>
        <w:ind w:left="159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38DE6897"/>
    <w:multiLevelType w:val="hybridMultilevel"/>
    <w:tmpl w:val="417A55A0"/>
    <w:lvl w:ilvl="0" w:tplc="3BCE9656">
      <w:start w:val="1"/>
      <w:numFmt w:val="bullet"/>
      <w:pStyle w:val="Bullet5"/>
      <w:lvlText w:val=""/>
      <w:lvlJc w:val="left"/>
      <w:pPr>
        <w:ind w:left="216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663067"/>
    <w:multiLevelType w:val="hybridMultilevel"/>
    <w:tmpl w:val="99CEFBA2"/>
    <w:lvl w:ilvl="0" w:tplc="2C505DB6">
      <w:start w:val="1"/>
      <w:numFmt w:val="bullet"/>
      <w:pStyle w:val="Bullet3"/>
      <w:lvlText w:val="▪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D16E6"/>
    <w:multiLevelType w:val="hybridMultilevel"/>
    <w:tmpl w:val="C3FC3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0C5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4DE4"/>
    <w:multiLevelType w:val="hybridMultilevel"/>
    <w:tmpl w:val="9E6C140A"/>
    <w:lvl w:ilvl="0" w:tplc="10FE3A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3F43BF"/>
    <w:multiLevelType w:val="hybridMultilevel"/>
    <w:tmpl w:val="77EE7870"/>
    <w:lvl w:ilvl="0" w:tplc="ECFC2250">
      <w:start w:val="1"/>
      <w:numFmt w:val="bullet"/>
      <w:pStyle w:val="Bullet2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9143F"/>
    <w:multiLevelType w:val="multilevel"/>
    <w:tmpl w:val="CC16F52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5CD1110D"/>
    <w:multiLevelType w:val="hybridMultilevel"/>
    <w:tmpl w:val="CB889AA2"/>
    <w:lvl w:ilvl="0" w:tplc="B98A6664">
      <w:start w:val="1"/>
      <w:numFmt w:val="bullet"/>
      <w:pStyle w:val="Bullet4"/>
      <w:lvlText w:val="♦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FD0F6D"/>
    <w:multiLevelType w:val="multilevel"/>
    <w:tmpl w:val="B3CAE1F2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9A77706"/>
    <w:multiLevelType w:val="hybridMultilevel"/>
    <w:tmpl w:val="E5B29B64"/>
    <w:lvl w:ilvl="0" w:tplc="B8BEF4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42719"/>
    <w:multiLevelType w:val="hybridMultilevel"/>
    <w:tmpl w:val="579A3700"/>
    <w:lvl w:ilvl="0" w:tplc="790A04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94D75"/>
    <w:multiLevelType w:val="hybridMultilevel"/>
    <w:tmpl w:val="FDC04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15F7"/>
    <w:multiLevelType w:val="hybridMultilevel"/>
    <w:tmpl w:val="2E665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A"/>
    <w:rsid w:val="00004CB7"/>
    <w:rsid w:val="00016ED0"/>
    <w:rsid w:val="00046D27"/>
    <w:rsid w:val="00087709"/>
    <w:rsid w:val="000A6F79"/>
    <w:rsid w:val="000D6CB3"/>
    <w:rsid w:val="00133EB8"/>
    <w:rsid w:val="0014343C"/>
    <w:rsid w:val="001D01D4"/>
    <w:rsid w:val="001F4671"/>
    <w:rsid w:val="00230498"/>
    <w:rsid w:val="0026509A"/>
    <w:rsid w:val="003008C6"/>
    <w:rsid w:val="003255A2"/>
    <w:rsid w:val="00333CDD"/>
    <w:rsid w:val="003641B4"/>
    <w:rsid w:val="003834C4"/>
    <w:rsid w:val="003D0932"/>
    <w:rsid w:val="003D11EF"/>
    <w:rsid w:val="003D3C53"/>
    <w:rsid w:val="003F6AA8"/>
    <w:rsid w:val="00415877"/>
    <w:rsid w:val="00497406"/>
    <w:rsid w:val="004A6699"/>
    <w:rsid w:val="004C19C5"/>
    <w:rsid w:val="004C3073"/>
    <w:rsid w:val="004D23BC"/>
    <w:rsid w:val="00502579"/>
    <w:rsid w:val="005218CE"/>
    <w:rsid w:val="00535C3A"/>
    <w:rsid w:val="00561DE6"/>
    <w:rsid w:val="00572B9B"/>
    <w:rsid w:val="00596FE5"/>
    <w:rsid w:val="005A1A27"/>
    <w:rsid w:val="005B402B"/>
    <w:rsid w:val="005E5D2D"/>
    <w:rsid w:val="005F1C27"/>
    <w:rsid w:val="005F2034"/>
    <w:rsid w:val="005F35F0"/>
    <w:rsid w:val="00631213"/>
    <w:rsid w:val="00643AF2"/>
    <w:rsid w:val="006B739F"/>
    <w:rsid w:val="006F2AD3"/>
    <w:rsid w:val="00710CDC"/>
    <w:rsid w:val="00757F09"/>
    <w:rsid w:val="007648B2"/>
    <w:rsid w:val="00785D1B"/>
    <w:rsid w:val="007B6C0D"/>
    <w:rsid w:val="007E7FCD"/>
    <w:rsid w:val="00814BAC"/>
    <w:rsid w:val="00840B07"/>
    <w:rsid w:val="00877C5D"/>
    <w:rsid w:val="00882264"/>
    <w:rsid w:val="008978AD"/>
    <w:rsid w:val="008A1CF2"/>
    <w:rsid w:val="008B4270"/>
    <w:rsid w:val="008D4A24"/>
    <w:rsid w:val="008E26BC"/>
    <w:rsid w:val="008F0526"/>
    <w:rsid w:val="009349C9"/>
    <w:rsid w:val="009620EC"/>
    <w:rsid w:val="00972BEB"/>
    <w:rsid w:val="009837F6"/>
    <w:rsid w:val="009B473B"/>
    <w:rsid w:val="009F7CF9"/>
    <w:rsid w:val="00A4743B"/>
    <w:rsid w:val="00AC3066"/>
    <w:rsid w:val="00AC4D73"/>
    <w:rsid w:val="00B12741"/>
    <w:rsid w:val="00B1458A"/>
    <w:rsid w:val="00B33A2C"/>
    <w:rsid w:val="00B71DB5"/>
    <w:rsid w:val="00BB564B"/>
    <w:rsid w:val="00C16A23"/>
    <w:rsid w:val="00C950EE"/>
    <w:rsid w:val="00CD4AC7"/>
    <w:rsid w:val="00D5712B"/>
    <w:rsid w:val="00D81842"/>
    <w:rsid w:val="00DA3937"/>
    <w:rsid w:val="00DD0C6B"/>
    <w:rsid w:val="00DF0338"/>
    <w:rsid w:val="00DF3E03"/>
    <w:rsid w:val="00E33A96"/>
    <w:rsid w:val="00E43369"/>
    <w:rsid w:val="00E70EE3"/>
    <w:rsid w:val="00E96194"/>
    <w:rsid w:val="00EA0BE7"/>
    <w:rsid w:val="00F0361E"/>
    <w:rsid w:val="00F1357F"/>
    <w:rsid w:val="00F21DAC"/>
    <w:rsid w:val="00F90493"/>
    <w:rsid w:val="00FB3C3F"/>
    <w:rsid w:val="00FC2C8C"/>
    <w:rsid w:val="00FD0AC7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B4CAB-AFAE-421D-BFDB-658C89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73"/>
    <w:pPr>
      <w:spacing w:after="0"/>
    </w:pPr>
    <w:rPr>
      <w:rFonts w:ascii="FS Thrive Elliot" w:hAnsi="FS Thrive Elliot"/>
      <w:sz w:val="20"/>
    </w:rPr>
  </w:style>
  <w:style w:type="paragraph" w:styleId="Heading1">
    <w:name w:val="heading 1"/>
    <w:aliases w:val="SubHead1"/>
    <w:basedOn w:val="Normal"/>
    <w:next w:val="Normal"/>
    <w:link w:val="Heading1Char"/>
    <w:qFormat/>
    <w:rsid w:val="00882264"/>
    <w:pPr>
      <w:keepNext/>
      <w:keepLines/>
      <w:pageBreakBefore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264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26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E1CAA"/>
    <w:pPr>
      <w:spacing w:before="240" w:after="60" w:line="240" w:lineRule="auto"/>
      <w:outlineLvl w:val="6"/>
    </w:pPr>
    <w:rPr>
      <w:rFonts w:ascii="Arial" w:eastAsia="MS Mincho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1 Char"/>
    <w:basedOn w:val="DefaultParagraphFont"/>
    <w:link w:val="Heading1"/>
    <w:rsid w:val="00882264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NormalDS">
    <w:name w:val="NormalDS"/>
    <w:basedOn w:val="Normal"/>
    <w:qFormat/>
    <w:rsid w:val="00B33A2C"/>
    <w:pPr>
      <w:spacing w:after="240"/>
    </w:pPr>
  </w:style>
  <w:style w:type="character" w:customStyle="1" w:styleId="Heading2Char">
    <w:name w:val="Heading 2 Char"/>
    <w:basedOn w:val="DefaultParagraphFont"/>
    <w:link w:val="Heading2"/>
    <w:uiPriority w:val="9"/>
    <w:rsid w:val="00882264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26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llet1">
    <w:name w:val="Bullet 1"/>
    <w:basedOn w:val="NormalDS"/>
    <w:qFormat/>
    <w:rsid w:val="00572B9B"/>
    <w:pPr>
      <w:numPr>
        <w:numId w:val="1"/>
      </w:numPr>
      <w:tabs>
        <w:tab w:val="left" w:pos="360"/>
      </w:tabs>
      <w:spacing w:after="120"/>
      <w:ind w:left="360"/>
    </w:pPr>
  </w:style>
  <w:style w:type="paragraph" w:customStyle="1" w:styleId="Bullet2">
    <w:name w:val="Bullet 2"/>
    <w:basedOn w:val="Bullet1"/>
    <w:qFormat/>
    <w:rsid w:val="005B402B"/>
    <w:pPr>
      <w:numPr>
        <w:numId w:val="2"/>
      </w:numPr>
      <w:spacing w:after="60"/>
      <w:ind w:left="720"/>
    </w:pPr>
  </w:style>
  <w:style w:type="paragraph" w:customStyle="1" w:styleId="Bullet3">
    <w:name w:val="Bullet 3"/>
    <w:basedOn w:val="Bullet2"/>
    <w:qFormat/>
    <w:rsid w:val="005B402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30498"/>
    <w:pPr>
      <w:ind w:left="720"/>
      <w:contextualSpacing/>
    </w:pPr>
  </w:style>
  <w:style w:type="paragraph" w:customStyle="1" w:styleId="DocumentSubtitle">
    <w:name w:val="Document Subtitle"/>
    <w:basedOn w:val="Normal"/>
    <w:next w:val="Normal"/>
    <w:autoRedefine/>
    <w:qFormat/>
    <w:rsid w:val="00046D27"/>
    <w:pPr>
      <w:keepNext/>
      <w:keepLines/>
      <w:suppressAutoHyphens/>
      <w:autoSpaceDE w:val="0"/>
      <w:autoSpaceDN w:val="0"/>
      <w:adjustRightInd w:val="0"/>
      <w:spacing w:before="300" w:after="100" w:line="240" w:lineRule="auto"/>
      <w:textAlignment w:val="center"/>
    </w:pPr>
    <w:rPr>
      <w:rFonts w:eastAsia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82264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customStyle="1" w:styleId="Bullet4">
    <w:name w:val="Bullet 4"/>
    <w:basedOn w:val="Normal"/>
    <w:rsid w:val="00133EB8"/>
    <w:pPr>
      <w:numPr>
        <w:numId w:val="5"/>
      </w:numPr>
      <w:spacing w:after="120" w:line="240" w:lineRule="auto"/>
      <w:ind w:left="1350" w:hanging="270"/>
    </w:pPr>
    <w:rPr>
      <w:rFonts w:eastAsia="Times New Roman" w:cs="Times New Roman"/>
      <w:szCs w:val="20"/>
      <w:lang w:val="de-DE"/>
    </w:rPr>
  </w:style>
  <w:style w:type="paragraph" w:customStyle="1" w:styleId="Bullet5">
    <w:name w:val="Bullet 5"/>
    <w:basedOn w:val="Normal"/>
    <w:rsid w:val="00133EB8"/>
    <w:pPr>
      <w:numPr>
        <w:numId w:val="6"/>
      </w:numPr>
      <w:spacing w:after="120" w:line="240" w:lineRule="auto"/>
      <w:ind w:left="1620" w:hanging="270"/>
    </w:pPr>
    <w:rPr>
      <w:rFonts w:eastAsia="Times New Roman" w:cs="Times New Roman"/>
      <w:szCs w:val="20"/>
    </w:rPr>
  </w:style>
  <w:style w:type="paragraph" w:customStyle="1" w:styleId="AlightFooter">
    <w:name w:val="Alight Footer"/>
    <w:basedOn w:val="Normal"/>
    <w:autoRedefine/>
    <w:rsid w:val="00004CB7"/>
    <w:pPr>
      <w:tabs>
        <w:tab w:val="right" w:pos="9360"/>
      </w:tabs>
      <w:spacing w:line="240" w:lineRule="auto"/>
    </w:pPr>
    <w:rPr>
      <w:rFonts w:ascii="FS Elliot Pro Thin" w:eastAsia="MS Mincho" w:hAnsi="FS Elliot Pro Thin" w:cs="Times New Roman"/>
      <w:sz w:val="16"/>
      <w:szCs w:val="16"/>
    </w:rPr>
  </w:style>
  <w:style w:type="paragraph" w:customStyle="1" w:styleId="BusinessUnit">
    <w:name w:val="Business Unit"/>
    <w:basedOn w:val="AlightFooter"/>
    <w:qFormat/>
    <w:rsid w:val="00004CB7"/>
    <w:rPr>
      <w:b/>
    </w:rPr>
  </w:style>
  <w:style w:type="paragraph" w:customStyle="1" w:styleId="Contact">
    <w:name w:val="Contact"/>
    <w:basedOn w:val="Normal"/>
    <w:rsid w:val="00004CB7"/>
    <w:pPr>
      <w:spacing w:line="264" w:lineRule="auto"/>
    </w:pPr>
    <w:rPr>
      <w:rFonts w:eastAsia="MS Mincho" w:cs="Times New Roman"/>
      <w:szCs w:val="20"/>
    </w:rPr>
  </w:style>
  <w:style w:type="paragraph" w:customStyle="1" w:styleId="ContactName">
    <w:name w:val="Contact Name"/>
    <w:basedOn w:val="Contact"/>
    <w:rsid w:val="00004CB7"/>
    <w:rPr>
      <w:b/>
    </w:rPr>
  </w:style>
  <w:style w:type="paragraph" w:customStyle="1" w:styleId="DocumentTitle">
    <w:name w:val="Document Title"/>
    <w:basedOn w:val="Normal"/>
    <w:qFormat/>
    <w:rsid w:val="00AC3066"/>
    <w:pPr>
      <w:tabs>
        <w:tab w:val="left" w:pos="6660"/>
      </w:tabs>
      <w:spacing w:line="240" w:lineRule="auto"/>
    </w:pPr>
    <w:rPr>
      <w:rFonts w:ascii="FS Thrive Elliot Heavy" w:hAnsi="FS Thrive Elliot Heavy"/>
      <w:b/>
      <w:sz w:val="72"/>
    </w:rPr>
  </w:style>
  <w:style w:type="paragraph" w:customStyle="1" w:styleId="LegalCopy">
    <w:name w:val="Legal Copy"/>
    <w:basedOn w:val="Normal"/>
    <w:rsid w:val="00F21DAC"/>
    <w:pPr>
      <w:spacing w:line="264" w:lineRule="auto"/>
    </w:pPr>
    <w:rPr>
      <w:rFonts w:eastAsia="Times New Roman" w:cs="Times New Roman"/>
      <w:sz w:val="16"/>
      <w:szCs w:val="16"/>
    </w:rPr>
  </w:style>
  <w:style w:type="paragraph" w:customStyle="1" w:styleId="MarketPractice">
    <w:name w:val="Market/Practice"/>
    <w:basedOn w:val="AlightFooter"/>
    <w:qFormat/>
    <w:rsid w:val="00004CB7"/>
    <w:rPr>
      <w:noProof/>
      <w:sz w:val="15"/>
    </w:rPr>
  </w:style>
  <w:style w:type="paragraph" w:customStyle="1" w:styleId="TableColumnHead">
    <w:name w:val="Table Column Head"/>
    <w:basedOn w:val="Normal"/>
    <w:rsid w:val="001D01D4"/>
    <w:pPr>
      <w:spacing w:after="60" w:line="240" w:lineRule="auto"/>
    </w:pPr>
    <w:rPr>
      <w:rFonts w:eastAsia="Times" w:cs="Arial"/>
      <w:b/>
      <w:szCs w:val="20"/>
    </w:rPr>
  </w:style>
  <w:style w:type="paragraph" w:customStyle="1" w:styleId="TableCopy">
    <w:name w:val="Table Copy"/>
    <w:basedOn w:val="Normal"/>
    <w:rsid w:val="00B12741"/>
    <w:pPr>
      <w:spacing w:before="40" w:line="200" w:lineRule="atLeast"/>
    </w:pPr>
    <w:rPr>
      <w:rFonts w:eastAsia="MS Mincho" w:cs="Arial"/>
      <w:szCs w:val="20"/>
    </w:rPr>
  </w:style>
  <w:style w:type="paragraph" w:customStyle="1" w:styleId="TableHeader">
    <w:name w:val="Table Header"/>
    <w:basedOn w:val="Normal"/>
    <w:rsid w:val="00004CB7"/>
    <w:pPr>
      <w:spacing w:line="240" w:lineRule="auto"/>
    </w:pPr>
    <w:rPr>
      <w:rFonts w:eastAsia="Times" w:cs="Arial"/>
      <w:b/>
      <w:szCs w:val="20"/>
    </w:rPr>
  </w:style>
  <w:style w:type="paragraph" w:customStyle="1" w:styleId="TableTitle">
    <w:name w:val="Table Title"/>
    <w:basedOn w:val="Normal"/>
    <w:rsid w:val="00004CB7"/>
    <w:pPr>
      <w:autoSpaceDE w:val="0"/>
      <w:autoSpaceDN w:val="0"/>
      <w:adjustRightInd w:val="0"/>
      <w:spacing w:after="240" w:line="240" w:lineRule="auto"/>
      <w:textAlignment w:val="center"/>
    </w:pPr>
    <w:rPr>
      <w:rFonts w:eastAsia="Times New Roman" w:cs="Times New Roman"/>
      <w:b/>
      <w:bCs/>
      <w:color w:val="000000"/>
      <w:szCs w:val="20"/>
    </w:rPr>
  </w:style>
  <w:style w:type="paragraph" w:customStyle="1" w:styleId="TOCHeader">
    <w:name w:val="TOC Header"/>
    <w:basedOn w:val="Normal"/>
    <w:next w:val="Heading1"/>
    <w:rsid w:val="00882264"/>
    <w:pPr>
      <w:spacing w:before="120" w:after="240" w:line="264" w:lineRule="auto"/>
    </w:pPr>
    <w:rPr>
      <w:rFonts w:asciiTheme="majorHAnsi" w:eastAsia="MS Mincho" w:hAnsiTheme="majorHAnsi" w:cs="Times New Roman"/>
      <w:color w:val="000000" w:themeColor="text1"/>
      <w:sz w:val="36"/>
      <w:szCs w:val="36"/>
    </w:rPr>
  </w:style>
  <w:style w:type="character" w:styleId="Hyperlink">
    <w:name w:val="Hyperlink"/>
    <w:basedOn w:val="DefaultParagraphFont"/>
    <w:rsid w:val="00004CB7"/>
    <w:rPr>
      <w:color w:val="0000FF"/>
      <w:u w:val="single"/>
    </w:rPr>
  </w:style>
  <w:style w:type="paragraph" w:styleId="TOC2">
    <w:name w:val="toc 2"/>
    <w:basedOn w:val="TOC1"/>
    <w:uiPriority w:val="39"/>
    <w:rsid w:val="00004CB7"/>
    <w:pPr>
      <w:tabs>
        <w:tab w:val="right" w:pos="7920"/>
      </w:tabs>
      <w:spacing w:before="240" w:after="240" w:line="240" w:lineRule="auto"/>
    </w:pPr>
    <w:rPr>
      <w:rFonts w:eastAsia="MS Mincho" w:cs="Times New Roman"/>
      <w:noProof/>
      <w:szCs w:val="20"/>
    </w:rPr>
  </w:style>
  <w:style w:type="paragraph" w:styleId="TOC3">
    <w:name w:val="toc 3"/>
    <w:basedOn w:val="Normal"/>
    <w:next w:val="Normal"/>
    <w:uiPriority w:val="39"/>
    <w:rsid w:val="00004CB7"/>
    <w:pPr>
      <w:tabs>
        <w:tab w:val="right" w:pos="7920"/>
      </w:tabs>
      <w:spacing w:line="480" w:lineRule="auto"/>
      <w:ind w:left="360"/>
    </w:pPr>
    <w:rPr>
      <w:rFonts w:eastAsia="Times"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004CB7"/>
    <w:pPr>
      <w:tabs>
        <w:tab w:val="right" w:pos="7920"/>
      </w:tabs>
      <w:spacing w:line="480" w:lineRule="auto"/>
      <w:ind w:left="720"/>
    </w:pPr>
    <w:rPr>
      <w:rFonts w:eastAsia="Times" w:cs="Times New Roman"/>
      <w:noProof/>
      <w:szCs w:val="20"/>
    </w:rPr>
  </w:style>
  <w:style w:type="paragraph" w:customStyle="1" w:styleId="NoteParagraphItalic">
    <w:name w:val="Note: Paragraph/Italic"/>
    <w:basedOn w:val="Normal"/>
    <w:rsid w:val="00004CB7"/>
    <w:pPr>
      <w:spacing w:after="240" w:line="264" w:lineRule="auto"/>
    </w:pPr>
    <w:rPr>
      <w:rFonts w:eastAsia="MS Mincho" w:cs="Times New Roman"/>
      <w:i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4CB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04C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B7"/>
    <w:rPr>
      <w:rFonts w:ascii="FS Elliot Pro" w:hAnsi="FS Elliot Pro"/>
      <w:sz w:val="20"/>
    </w:rPr>
  </w:style>
  <w:style w:type="paragraph" w:styleId="Footer">
    <w:name w:val="footer"/>
    <w:basedOn w:val="Normal"/>
    <w:link w:val="FooterChar"/>
    <w:uiPriority w:val="99"/>
    <w:unhideWhenUsed/>
    <w:rsid w:val="00004C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B7"/>
    <w:rPr>
      <w:rFonts w:ascii="FS Elliot Pro" w:hAnsi="FS Elliot Pr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ullet">
    <w:name w:val="Table Bullet"/>
    <w:basedOn w:val="Bullet1"/>
    <w:qFormat/>
    <w:rsid w:val="000D6CB3"/>
    <w:pPr>
      <w:numPr>
        <w:numId w:val="4"/>
      </w:numPr>
      <w:spacing w:before="40" w:after="0"/>
    </w:pPr>
  </w:style>
  <w:style w:type="paragraph" w:customStyle="1" w:styleId="TableBullet2">
    <w:name w:val="Table Bullet 2"/>
    <w:basedOn w:val="Bullet2"/>
    <w:qFormat/>
    <w:rsid w:val="000D6CB3"/>
    <w:pPr>
      <w:spacing w:before="40" w:after="0"/>
    </w:pPr>
  </w:style>
  <w:style w:type="paragraph" w:customStyle="1" w:styleId="TableofContentsHeader">
    <w:name w:val="Table of Contents Header"/>
    <w:basedOn w:val="Heading1"/>
    <w:uiPriority w:val="1"/>
    <w:qFormat/>
    <w:rsid w:val="00E70EE3"/>
    <w:pPr>
      <w:pageBreakBefore w:val="0"/>
      <w:spacing w:before="240" w:after="240"/>
    </w:pPr>
    <w:rPr>
      <w:rFonts w:ascii="FS Elliot Pro Heavy" w:hAnsi="FS Elliot Pro Heavy"/>
    </w:rPr>
  </w:style>
  <w:style w:type="paragraph" w:styleId="Title">
    <w:name w:val="Title"/>
    <w:basedOn w:val="Normal"/>
    <w:next w:val="Normal"/>
    <w:link w:val="TitleChar"/>
    <w:uiPriority w:val="10"/>
    <w:qFormat/>
    <w:rsid w:val="00FE1CAA"/>
    <w:pPr>
      <w:pBdr>
        <w:bottom w:val="single" w:sz="8" w:space="4" w:color="FFF2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CAA"/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rsid w:val="00FE1CAA"/>
    <w:rPr>
      <w:rFonts w:ascii="Arial" w:eastAsia="MS Mincho" w:hAnsi="Arial" w:cs="Times New Roman"/>
      <w:sz w:val="20"/>
      <w:szCs w:val="24"/>
    </w:rPr>
  </w:style>
  <w:style w:type="paragraph" w:customStyle="1" w:styleId="Numbr1-9DS">
    <w:name w:val="Numbr 1-9 DS"/>
    <w:basedOn w:val="Normal"/>
    <w:link w:val="Numbr1-9DSChar"/>
    <w:rsid w:val="00FE1CAA"/>
    <w:pPr>
      <w:numPr>
        <w:numId w:val="7"/>
      </w:numPr>
      <w:tabs>
        <w:tab w:val="left" w:pos="878"/>
      </w:tabs>
      <w:spacing w:after="260" w:line="240" w:lineRule="auto"/>
    </w:pPr>
    <w:rPr>
      <w:rFonts w:ascii="Arial" w:eastAsia="MS Mincho" w:hAnsi="Arial" w:cs="Times New Roman"/>
      <w:szCs w:val="20"/>
    </w:rPr>
  </w:style>
  <w:style w:type="character" w:customStyle="1" w:styleId="Numbr1-9DSChar">
    <w:name w:val="Numbr 1-9 DS Char"/>
    <w:link w:val="Numbr1-9DS"/>
    <w:rsid w:val="00FE1CAA"/>
    <w:rPr>
      <w:rFonts w:ascii="Arial" w:eastAsia="MS Mincho" w:hAnsi="Arial" w:cs="Times New Roman"/>
      <w:sz w:val="20"/>
      <w:szCs w:val="20"/>
    </w:rPr>
  </w:style>
  <w:style w:type="character" w:styleId="Strong">
    <w:name w:val="Strong"/>
    <w:basedOn w:val="DefaultParagraphFont"/>
    <w:qFormat/>
    <w:rsid w:val="00FE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.edu/oneusg_connec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witt.com/p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68547\AppData\Local\Temp\7zOC15F.tmp\Alight-report-doc-black-bottom-arc.dotx" TargetMode="External"/></Relationships>
</file>

<file path=word/theme/theme1.xml><?xml version="1.0" encoding="utf-8"?>
<a:theme xmlns:a="http://schemas.openxmlformats.org/drawingml/2006/main" name="Alight-theme">
  <a:themeElements>
    <a:clrScheme name="Alight">
      <a:dk1>
        <a:srgbClr val="000000"/>
      </a:dk1>
      <a:lt1>
        <a:sysClr val="window" lastClr="FFFFFF"/>
      </a:lt1>
      <a:dk2>
        <a:srgbClr val="777877"/>
      </a:dk2>
      <a:lt2>
        <a:srgbClr val="FFF200"/>
      </a:lt2>
      <a:accent1>
        <a:srgbClr val="FFF200"/>
      </a:accent1>
      <a:accent2>
        <a:srgbClr val="725091"/>
      </a:accent2>
      <a:accent3>
        <a:srgbClr val="1473A5"/>
      </a:accent3>
      <a:accent4>
        <a:srgbClr val="8BD0CD"/>
      </a:accent4>
      <a:accent5>
        <a:srgbClr val="00AF57"/>
      </a:accent5>
      <a:accent6>
        <a:srgbClr val="000000"/>
      </a:accent6>
      <a:hlink>
        <a:srgbClr val="000000"/>
      </a:hlink>
      <a:folHlink>
        <a:srgbClr val="777877"/>
      </a:folHlink>
    </a:clrScheme>
    <a:fontScheme name="FS Thrive Elliot">
      <a:majorFont>
        <a:latin typeface="FS Thrive Elliot Heavy"/>
        <a:ea typeface=""/>
        <a:cs typeface=""/>
      </a:majorFont>
      <a:minorFont>
        <a:latin typeface="FS Thrive Elli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 anchor="t">
        <a:noAutofit/>
      </a:bodyPr>
      <a:lstStyle>
        <a:defPPr>
          <a:lnSpc>
            <a:spcPts val="2000"/>
          </a:lnSpc>
          <a:defRPr sz="1800" dirty="0">
            <a:solidFill>
              <a:srgbClr val="000000"/>
            </a:solidFill>
            <a:latin typeface="+mn-lt"/>
            <a:cs typeface="FS Thrive Elliot Regular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Alight-report-doc-black-bottom-arc</Template>
  <TotalTime>1</TotalTime>
  <Pages>13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Wood</dc:creator>
  <cp:lastModifiedBy>Jennifer C. Kennington</cp:lastModifiedBy>
  <cp:revision>2</cp:revision>
  <cp:lastPrinted>2017-06-27T23:54:00Z</cp:lastPrinted>
  <dcterms:created xsi:type="dcterms:W3CDTF">2017-06-29T13:50:00Z</dcterms:created>
  <dcterms:modified xsi:type="dcterms:W3CDTF">2017-06-29T13:50:00Z</dcterms:modified>
</cp:coreProperties>
</file>