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Online Lessons for </w:t>
      </w:r>
      <w:r w:rsidR="004B2749">
        <w:rPr>
          <w:b/>
          <w:sz w:val="28"/>
          <w:szCs w:val="28"/>
        </w:rPr>
        <w:t>Buyer</w:t>
      </w:r>
      <w:r w:rsidR="000539D6">
        <w:rPr>
          <w:b/>
          <w:sz w:val="28"/>
          <w:szCs w:val="28"/>
        </w:rPr>
        <w:t>s</w:t>
      </w:r>
    </w:p>
    <w:p w:rsidR="00F70719" w:rsidRDefault="009E5849">
      <w:r>
        <w:t>The lessons below are suggested for</w:t>
      </w:r>
      <w:r w:rsidR="00DD7CBE">
        <w:t xml:space="preserve"> Buyers who work with ePro Requisitions</w:t>
      </w:r>
      <w:r>
        <w:t xml:space="preserve">. Depending on your actual responsibilities, you may not need to review every lesson. </w:t>
      </w:r>
      <w:r w:rsidR="00A517AE">
        <w:t xml:space="preserve">If you will also be creating requisitions, please see the suggested online lessons for Requesters. </w:t>
      </w:r>
      <w:r w:rsidR="00F70719">
        <w:t>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DD7CBE">
            <w:pPr>
              <w:cnfStyle w:val="100000000000"/>
            </w:pPr>
            <w:r>
              <w:t xml:space="preserve">Online Lessons for </w:t>
            </w:r>
            <w:r w:rsidR="00DD7CBE">
              <w:t>Buyer</w:t>
            </w:r>
            <w:r>
              <w:t>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Pr="00543359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EPMP04_eProcurement and Georgia</w:t>
            </w:r>
            <w:r w:rsidRPr="00543359">
              <w:rPr>
                <w:i/>
              </w:rPr>
              <w:t xml:space="preserve">FIRST </w:t>
            </w:r>
            <w:r w:rsidRPr="00F70719">
              <w:t>Marketplace Approvals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60486"/>
        </w:tc>
        <w:tc>
          <w:tcPr>
            <w:tcW w:w="8208" w:type="dxa"/>
            <w:vAlign w:val="center"/>
          </w:tcPr>
          <w:p w:rsidR="00A517AE" w:rsidRDefault="00A517AE" w:rsidP="00560486">
            <w:pPr>
              <w:cnfStyle w:val="000000100000"/>
            </w:pPr>
            <w:r>
              <w:t>EPMP15_Accessing the Worklist and Approving Requisitions</w:t>
            </w:r>
          </w:p>
        </w:tc>
      </w:tr>
      <w:tr w:rsidR="00A517A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60486"/>
        </w:tc>
        <w:tc>
          <w:tcPr>
            <w:tcW w:w="8208" w:type="dxa"/>
            <w:vAlign w:val="center"/>
          </w:tcPr>
          <w:p w:rsidR="00A517AE" w:rsidRDefault="00A517AE" w:rsidP="00560486">
            <w:pPr>
              <w:cnfStyle w:val="000000000000"/>
            </w:pPr>
            <w:r>
              <w:t>EPMP16_Editing a Requisition in Your Worklist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100000"/>
            </w:pPr>
            <w:r>
              <w:t>EPMP19_Procure-to-Pay Process Flow</w:t>
            </w:r>
          </w:p>
        </w:tc>
      </w:tr>
      <w:tr w:rsidR="00A517A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000000"/>
            </w:pPr>
            <w:r>
              <w:t>EPMP13_Managing Requisitions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100000"/>
            </w:pPr>
            <w:r>
              <w:t>EPMP20_Budget Checking Requisitions</w:t>
            </w:r>
          </w:p>
        </w:tc>
      </w:tr>
      <w:tr w:rsidR="00A517A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000000"/>
            </w:pPr>
            <w:r>
              <w:t>EPMP21_Sourcing Requisitions into Purchase Orders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100000"/>
            </w:pPr>
            <w:r>
              <w:t>EPMP22_Copying a Special Request Requisition into a Purchase Order</w:t>
            </w:r>
          </w:p>
        </w:tc>
      </w:tr>
      <w:tr w:rsidR="00A517A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60486"/>
        </w:tc>
        <w:tc>
          <w:tcPr>
            <w:tcW w:w="8208" w:type="dxa"/>
            <w:vAlign w:val="center"/>
          </w:tcPr>
          <w:p w:rsidR="00A517AE" w:rsidRDefault="00A517AE" w:rsidP="00560486">
            <w:pPr>
              <w:cnfStyle w:val="000000000000"/>
            </w:pPr>
            <w:r w:rsidRPr="00F70719">
              <w:t xml:space="preserve">EPMP18_Desktop Receiving  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100000"/>
            </w:pPr>
            <w:r>
              <w:t>EPMP23_Receiving through the Purchasing Menu</w:t>
            </w:r>
          </w:p>
        </w:tc>
      </w:tr>
      <w:tr w:rsidR="00A517A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000000"/>
            </w:pPr>
            <w:r>
              <w:t>EPMP24_Using the Requisition Reconciliation Workbench</w:t>
            </w:r>
          </w:p>
        </w:tc>
      </w:tr>
      <w:tr w:rsidR="00A517AE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517AE" w:rsidRPr="00F70719" w:rsidRDefault="00A517AE" w:rsidP="005B124B"/>
        </w:tc>
        <w:tc>
          <w:tcPr>
            <w:tcW w:w="8208" w:type="dxa"/>
            <w:vAlign w:val="center"/>
          </w:tcPr>
          <w:p w:rsidR="00A517AE" w:rsidRDefault="00A517AE" w:rsidP="005B124B">
            <w:pPr>
              <w:cnfStyle w:val="000000100000"/>
            </w:pPr>
            <w:r>
              <w:t>EPMP25_Closing Requisitions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Pr="00543359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Pr="00543359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Pr="00543359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Pr="00543359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Pr="00543359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543359" w:rsidRPr="00543359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AB6653" w:rsidTr="0056048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AB6653" w:rsidRDefault="00AB6653" w:rsidP="00560486">
            <w:r>
              <w:t xml:space="preserve">EPMP15_Accessing the Worklist and Approving Requisitions </w:t>
            </w:r>
          </w:p>
        </w:tc>
      </w:tr>
      <w:tr w:rsidR="00AB6653" w:rsidTr="00560486">
        <w:trPr>
          <w:cnfStyle w:val="000000100000"/>
        </w:trPr>
        <w:tc>
          <w:tcPr>
            <w:cnfStyle w:val="001000000000"/>
            <w:tcW w:w="2178" w:type="dxa"/>
          </w:tcPr>
          <w:p w:rsidR="00AB6653" w:rsidRDefault="00AB6653" w:rsidP="00560486">
            <w:r>
              <w:t>Approximate Time:</w:t>
            </w:r>
          </w:p>
        </w:tc>
        <w:tc>
          <w:tcPr>
            <w:tcW w:w="7398" w:type="dxa"/>
          </w:tcPr>
          <w:p w:rsidR="00AB6653" w:rsidRDefault="00AB6653" w:rsidP="00560486">
            <w:pPr>
              <w:cnfStyle w:val="000000100000"/>
            </w:pPr>
            <w:r>
              <w:t>15 minutes</w:t>
            </w:r>
          </w:p>
        </w:tc>
      </w:tr>
      <w:tr w:rsidR="00AB6653" w:rsidTr="00560486">
        <w:tc>
          <w:tcPr>
            <w:cnfStyle w:val="001000000000"/>
            <w:tcW w:w="2178" w:type="dxa"/>
          </w:tcPr>
          <w:p w:rsidR="00AB6653" w:rsidRDefault="00AB6653" w:rsidP="00560486">
            <w:r>
              <w:t>Objectives:</w:t>
            </w:r>
          </w:p>
        </w:tc>
        <w:tc>
          <w:tcPr>
            <w:tcW w:w="7398" w:type="dxa"/>
          </w:tcPr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access your Worklist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review requisition information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review a requisition’s approval path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insert ad hoc approvers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approve a requisition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deny a requisition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what a requisition push-back is</w:t>
            </w:r>
          </w:p>
        </w:tc>
      </w:tr>
    </w:tbl>
    <w:p w:rsidR="00BC1F7E" w:rsidRDefault="00BC1F7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AB6653" w:rsidTr="0056048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AB6653" w:rsidRDefault="00AB6653" w:rsidP="00560486">
            <w:r>
              <w:t xml:space="preserve">EPMP16_Editing a Requisition in Your Worklist </w:t>
            </w:r>
          </w:p>
        </w:tc>
      </w:tr>
      <w:tr w:rsidR="00AB6653" w:rsidTr="00560486">
        <w:trPr>
          <w:cnfStyle w:val="000000100000"/>
        </w:trPr>
        <w:tc>
          <w:tcPr>
            <w:cnfStyle w:val="001000000000"/>
            <w:tcW w:w="2178" w:type="dxa"/>
          </w:tcPr>
          <w:p w:rsidR="00AB6653" w:rsidRDefault="00AB6653" w:rsidP="00560486">
            <w:r>
              <w:t>Approximate Time:</w:t>
            </w:r>
          </w:p>
        </w:tc>
        <w:tc>
          <w:tcPr>
            <w:tcW w:w="7398" w:type="dxa"/>
          </w:tcPr>
          <w:p w:rsidR="00AB6653" w:rsidRDefault="00AB6653" w:rsidP="00560486">
            <w:pPr>
              <w:cnfStyle w:val="000000100000"/>
            </w:pPr>
            <w:r>
              <w:t>8 minutes</w:t>
            </w:r>
          </w:p>
        </w:tc>
      </w:tr>
      <w:tr w:rsidR="00AB6653" w:rsidTr="00560486">
        <w:tc>
          <w:tcPr>
            <w:cnfStyle w:val="001000000000"/>
            <w:tcW w:w="2178" w:type="dxa"/>
          </w:tcPr>
          <w:p w:rsidR="00AB6653" w:rsidRDefault="00AB6653" w:rsidP="00560486">
            <w:r>
              <w:t>Objectives:</w:t>
            </w:r>
          </w:p>
        </w:tc>
        <w:tc>
          <w:tcPr>
            <w:tcW w:w="7398" w:type="dxa"/>
          </w:tcPr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edits should be made on a Requisition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can edit a Requisition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edit a Requisition</w:t>
            </w:r>
          </w:p>
        </w:tc>
      </w:tr>
    </w:tbl>
    <w:p w:rsidR="00FC3EFD" w:rsidRDefault="00FC3EFD" w:rsidP="00F70719"/>
    <w:p w:rsidR="00AB6653" w:rsidRDefault="00AB6653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AB6653" w:rsidTr="0056048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AB6653" w:rsidRDefault="00AB6653" w:rsidP="00560486">
            <w:r>
              <w:lastRenderedPageBreak/>
              <w:t xml:space="preserve">EPMP19_Procure-to-Pay Process Flow </w:t>
            </w:r>
          </w:p>
        </w:tc>
      </w:tr>
      <w:tr w:rsidR="00AB6653" w:rsidTr="00560486">
        <w:trPr>
          <w:cnfStyle w:val="000000100000"/>
        </w:trPr>
        <w:tc>
          <w:tcPr>
            <w:cnfStyle w:val="001000000000"/>
            <w:tcW w:w="2178" w:type="dxa"/>
          </w:tcPr>
          <w:p w:rsidR="00AB6653" w:rsidRDefault="00AB6653" w:rsidP="00560486">
            <w:r>
              <w:t>Approximate Time:</w:t>
            </w:r>
          </w:p>
        </w:tc>
        <w:tc>
          <w:tcPr>
            <w:tcW w:w="7398" w:type="dxa"/>
          </w:tcPr>
          <w:p w:rsidR="00AB6653" w:rsidRDefault="00AB6653" w:rsidP="00560486">
            <w:pPr>
              <w:cnfStyle w:val="000000100000"/>
            </w:pPr>
            <w:r>
              <w:t>7 minutes</w:t>
            </w:r>
          </w:p>
        </w:tc>
      </w:tr>
      <w:tr w:rsidR="00AB6653" w:rsidTr="00560486">
        <w:tc>
          <w:tcPr>
            <w:cnfStyle w:val="001000000000"/>
            <w:tcW w:w="2178" w:type="dxa"/>
          </w:tcPr>
          <w:p w:rsidR="00AB6653" w:rsidRDefault="00AB6653" w:rsidP="00560486">
            <w:r>
              <w:t>Objective:</w:t>
            </w:r>
          </w:p>
        </w:tc>
        <w:tc>
          <w:tcPr>
            <w:tcW w:w="7398" w:type="dxa"/>
          </w:tcPr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steps involved in the Procure-to-Pay Process Flow</w:t>
            </w:r>
          </w:p>
        </w:tc>
      </w:tr>
    </w:tbl>
    <w:p w:rsidR="008C6362" w:rsidRDefault="008C6362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924210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924210" w:rsidRDefault="00924210" w:rsidP="00924210">
            <w:r>
              <w:t>EPMP13_Managing Requisitions</w:t>
            </w:r>
          </w:p>
        </w:tc>
      </w:tr>
      <w:tr w:rsidR="00924210" w:rsidTr="00363E29">
        <w:trPr>
          <w:cnfStyle w:val="000000100000"/>
        </w:trPr>
        <w:tc>
          <w:tcPr>
            <w:cnfStyle w:val="001000000000"/>
            <w:tcW w:w="2178" w:type="dxa"/>
          </w:tcPr>
          <w:p w:rsidR="00924210" w:rsidRDefault="00924210" w:rsidP="00363E29">
            <w:r>
              <w:t>Approximate Time:</w:t>
            </w:r>
          </w:p>
        </w:tc>
        <w:tc>
          <w:tcPr>
            <w:tcW w:w="7398" w:type="dxa"/>
          </w:tcPr>
          <w:p w:rsidR="00924210" w:rsidRDefault="00924210" w:rsidP="00924210">
            <w:pPr>
              <w:cnfStyle w:val="000000100000"/>
            </w:pPr>
            <w:r>
              <w:t>17 minutes</w:t>
            </w:r>
          </w:p>
        </w:tc>
      </w:tr>
      <w:tr w:rsidR="00924210" w:rsidTr="00363E29">
        <w:tc>
          <w:tcPr>
            <w:cnfStyle w:val="001000000000"/>
            <w:tcW w:w="2178" w:type="dxa"/>
          </w:tcPr>
          <w:p w:rsidR="00924210" w:rsidRDefault="00924210" w:rsidP="00363E29">
            <w:r>
              <w:t>Objectives:</w:t>
            </w:r>
          </w:p>
        </w:tc>
        <w:tc>
          <w:tcPr>
            <w:tcW w:w="7398" w:type="dxa"/>
          </w:tcPr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Locate the Manage Requisitions page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various search criteria that can be used on the Manage Requisitions page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various Requisition Statuses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various Budget Checking Statuses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review information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edit a requisition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delete a requisition line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cancel a requisition</w:t>
            </w:r>
          </w:p>
        </w:tc>
      </w:tr>
    </w:tbl>
    <w:p w:rsidR="00924210" w:rsidRDefault="00924210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30A7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0A78" w:rsidRDefault="00F30A78" w:rsidP="00F30A78">
            <w:r>
              <w:t xml:space="preserve">EPMP20_Budget Checking Requisitions  </w:t>
            </w:r>
          </w:p>
        </w:tc>
      </w:tr>
      <w:tr w:rsidR="00F30A78" w:rsidTr="00363E29">
        <w:trPr>
          <w:cnfStyle w:val="000000100000"/>
        </w:trPr>
        <w:tc>
          <w:tcPr>
            <w:cnfStyle w:val="001000000000"/>
            <w:tcW w:w="2178" w:type="dxa"/>
          </w:tcPr>
          <w:p w:rsidR="00F30A78" w:rsidRDefault="00F30A78" w:rsidP="00363E29">
            <w:r>
              <w:t>Approximate Time:</w:t>
            </w:r>
          </w:p>
        </w:tc>
        <w:tc>
          <w:tcPr>
            <w:tcW w:w="7398" w:type="dxa"/>
          </w:tcPr>
          <w:p w:rsidR="00F30A78" w:rsidRDefault="00F30A78" w:rsidP="00363E29">
            <w:pPr>
              <w:cnfStyle w:val="000000100000"/>
            </w:pPr>
            <w:r>
              <w:t>23 minutes</w:t>
            </w:r>
          </w:p>
        </w:tc>
      </w:tr>
      <w:tr w:rsidR="00F30A78" w:rsidTr="00363E29">
        <w:tc>
          <w:tcPr>
            <w:cnfStyle w:val="001000000000"/>
            <w:tcW w:w="2178" w:type="dxa"/>
          </w:tcPr>
          <w:p w:rsidR="00F30A78" w:rsidRDefault="00F30A78" w:rsidP="00363E29">
            <w:r>
              <w:t>Objectives:</w:t>
            </w:r>
          </w:p>
        </w:tc>
        <w:tc>
          <w:tcPr>
            <w:tcW w:w="7398" w:type="dxa"/>
          </w:tcPr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budget checking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budget checking statuses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ways of running budget checking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when the scheduled batch budget checking jobs run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run batch budget checking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perform manual budget checking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review budget check exceptions</w:t>
            </w:r>
          </w:p>
          <w:p w:rsidR="00F30A78" w:rsidRDefault="00F30A78" w:rsidP="00F30A7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and identify common solutions to budget checking errors</w:t>
            </w:r>
          </w:p>
        </w:tc>
      </w:tr>
    </w:tbl>
    <w:p w:rsidR="00F30A78" w:rsidRDefault="00F30A78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2429A3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429A3" w:rsidRDefault="002429A3" w:rsidP="002429A3">
            <w:r>
              <w:t>EPMP21_Sourcing  Requisitions  into Purchase Orders</w:t>
            </w:r>
          </w:p>
        </w:tc>
      </w:tr>
      <w:tr w:rsidR="002429A3" w:rsidTr="00C4493E">
        <w:trPr>
          <w:cnfStyle w:val="000000100000"/>
        </w:trPr>
        <w:tc>
          <w:tcPr>
            <w:cnfStyle w:val="001000000000"/>
            <w:tcW w:w="2178" w:type="dxa"/>
          </w:tcPr>
          <w:p w:rsidR="002429A3" w:rsidRDefault="002429A3" w:rsidP="00C4493E">
            <w:r>
              <w:t>Approximate Time:</w:t>
            </w:r>
          </w:p>
        </w:tc>
        <w:tc>
          <w:tcPr>
            <w:tcW w:w="7398" w:type="dxa"/>
          </w:tcPr>
          <w:p w:rsidR="002429A3" w:rsidRDefault="002429A3" w:rsidP="00C4493E">
            <w:pPr>
              <w:cnfStyle w:val="000000100000"/>
            </w:pPr>
            <w:r>
              <w:t>17 minutes</w:t>
            </w:r>
          </w:p>
        </w:tc>
      </w:tr>
      <w:tr w:rsidR="002429A3" w:rsidTr="00C4493E">
        <w:tc>
          <w:tcPr>
            <w:cnfStyle w:val="001000000000"/>
            <w:tcW w:w="2178" w:type="dxa"/>
          </w:tcPr>
          <w:p w:rsidR="002429A3" w:rsidRDefault="002429A3" w:rsidP="00C4493E">
            <w:r>
              <w:t>Objectives:</w:t>
            </w:r>
          </w:p>
        </w:tc>
        <w:tc>
          <w:tcPr>
            <w:tcW w:w="7398" w:type="dxa"/>
          </w:tcPr>
          <w:p w:rsidR="002429A3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Georgia</w:t>
            </w:r>
            <w:r w:rsidR="00543359" w:rsidRPr="00543359">
              <w:rPr>
                <w:i/>
              </w:rPr>
              <w:t>FIRST</w:t>
            </w:r>
            <w:r>
              <w:t xml:space="preserve"> Marketplace Requisitions are sourced into Purchase Orders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review results of automatic sourcing of Marketplace Requisitions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manually source requisitions into Purchase Orders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expedite requisitions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build approved purchase orders during the Expedite process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review results of the Expedite Requisitions process</w:t>
            </w:r>
          </w:p>
          <w:p w:rsidR="003F7CB4" w:rsidRDefault="003F7CB4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Purchase Orders are processed</w:t>
            </w:r>
          </w:p>
        </w:tc>
      </w:tr>
    </w:tbl>
    <w:p w:rsidR="002429A3" w:rsidRDefault="002429A3" w:rsidP="00F70719"/>
    <w:p w:rsidR="00AB6653" w:rsidRDefault="00AB6653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B057AD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B057AD" w:rsidRDefault="00B057AD" w:rsidP="00B057AD">
            <w:r>
              <w:lastRenderedPageBreak/>
              <w:t>EPMP22_Copying a Special Request Requisition into a Purchase Order</w:t>
            </w:r>
          </w:p>
        </w:tc>
      </w:tr>
      <w:tr w:rsidR="00B057AD" w:rsidTr="00C4493E">
        <w:trPr>
          <w:cnfStyle w:val="000000100000"/>
        </w:trPr>
        <w:tc>
          <w:tcPr>
            <w:cnfStyle w:val="001000000000"/>
            <w:tcW w:w="2178" w:type="dxa"/>
          </w:tcPr>
          <w:p w:rsidR="00B057AD" w:rsidRDefault="00B057AD" w:rsidP="00C4493E">
            <w:r>
              <w:t>Approximate Time:</w:t>
            </w:r>
          </w:p>
        </w:tc>
        <w:tc>
          <w:tcPr>
            <w:tcW w:w="7398" w:type="dxa"/>
          </w:tcPr>
          <w:p w:rsidR="00B057AD" w:rsidRDefault="00B057AD" w:rsidP="00C4493E">
            <w:pPr>
              <w:cnfStyle w:val="000000100000"/>
            </w:pPr>
            <w:r>
              <w:t>7 minutes</w:t>
            </w:r>
          </w:p>
        </w:tc>
      </w:tr>
      <w:tr w:rsidR="00B057AD" w:rsidTr="00C4493E">
        <w:tc>
          <w:tcPr>
            <w:cnfStyle w:val="001000000000"/>
            <w:tcW w:w="2178" w:type="dxa"/>
          </w:tcPr>
          <w:p w:rsidR="00B057AD" w:rsidRDefault="00B057AD" w:rsidP="00C4493E">
            <w:r>
              <w:t>Objectives:</w:t>
            </w:r>
          </w:p>
        </w:tc>
        <w:tc>
          <w:tcPr>
            <w:tcW w:w="7398" w:type="dxa"/>
          </w:tcPr>
          <w:p w:rsidR="00B057AD" w:rsidRDefault="00B057A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types of requisitions can be copied into a Purchase Order</w:t>
            </w:r>
          </w:p>
          <w:p w:rsidR="00B057AD" w:rsidRDefault="00B057A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copy requisition lines into a Purchase Order</w:t>
            </w:r>
          </w:p>
          <w:p w:rsidR="00B057AD" w:rsidRDefault="00B057AD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process the resulting Purchase Order</w:t>
            </w:r>
          </w:p>
        </w:tc>
      </w:tr>
    </w:tbl>
    <w:p w:rsidR="00B057AD" w:rsidRDefault="00B057AD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AB6653" w:rsidTr="0056048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AB6653" w:rsidRDefault="00AB6653" w:rsidP="00560486">
            <w:r>
              <w:t xml:space="preserve">EPMP18_Desktop Receiving </w:t>
            </w:r>
          </w:p>
        </w:tc>
      </w:tr>
      <w:tr w:rsidR="00AB6653" w:rsidTr="00560486">
        <w:trPr>
          <w:cnfStyle w:val="000000100000"/>
        </w:trPr>
        <w:tc>
          <w:tcPr>
            <w:cnfStyle w:val="001000000000"/>
            <w:tcW w:w="2178" w:type="dxa"/>
          </w:tcPr>
          <w:p w:rsidR="00AB6653" w:rsidRDefault="00AB6653" w:rsidP="00560486">
            <w:r>
              <w:t>Approximate Time:</w:t>
            </w:r>
          </w:p>
        </w:tc>
        <w:tc>
          <w:tcPr>
            <w:tcW w:w="7398" w:type="dxa"/>
          </w:tcPr>
          <w:p w:rsidR="00AB6653" w:rsidRDefault="00AB6653" w:rsidP="00560486">
            <w:pPr>
              <w:cnfStyle w:val="000000100000"/>
            </w:pPr>
            <w:r>
              <w:t>7 minutes</w:t>
            </w:r>
          </w:p>
        </w:tc>
      </w:tr>
      <w:tr w:rsidR="00AB6653" w:rsidTr="00560486">
        <w:tc>
          <w:tcPr>
            <w:cnfStyle w:val="001000000000"/>
            <w:tcW w:w="2178" w:type="dxa"/>
          </w:tcPr>
          <w:p w:rsidR="00AB6653" w:rsidRDefault="00AB6653" w:rsidP="00560486">
            <w:r>
              <w:t>Objectives:</w:t>
            </w:r>
          </w:p>
        </w:tc>
        <w:tc>
          <w:tcPr>
            <w:tcW w:w="7398" w:type="dxa"/>
          </w:tcPr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desktop receiving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should receive items</w:t>
            </w:r>
          </w:p>
          <w:p w:rsidR="00AB6653" w:rsidRDefault="00AB6653" w:rsidP="00560486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desktop receipt</w:t>
            </w:r>
          </w:p>
        </w:tc>
      </w:tr>
    </w:tbl>
    <w:p w:rsidR="00AB6653" w:rsidRDefault="00AB6653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561EEF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561EEF" w:rsidRDefault="00561EEF" w:rsidP="00561EEF">
            <w:r>
              <w:t>EPMP23_Receiving through the Purchasing Menu</w:t>
            </w:r>
          </w:p>
        </w:tc>
      </w:tr>
      <w:tr w:rsidR="00561EEF" w:rsidTr="00C4493E">
        <w:trPr>
          <w:cnfStyle w:val="000000100000"/>
        </w:trPr>
        <w:tc>
          <w:tcPr>
            <w:cnfStyle w:val="001000000000"/>
            <w:tcW w:w="2178" w:type="dxa"/>
          </w:tcPr>
          <w:p w:rsidR="00561EEF" w:rsidRDefault="00561EEF" w:rsidP="00C4493E">
            <w:r>
              <w:t>Approximate Time:</w:t>
            </w:r>
          </w:p>
        </w:tc>
        <w:tc>
          <w:tcPr>
            <w:tcW w:w="7398" w:type="dxa"/>
          </w:tcPr>
          <w:p w:rsidR="00561EEF" w:rsidRDefault="00561EEF" w:rsidP="00C4493E">
            <w:pPr>
              <w:cnfStyle w:val="000000100000"/>
            </w:pPr>
            <w:r>
              <w:t>9 minutes</w:t>
            </w:r>
          </w:p>
        </w:tc>
      </w:tr>
      <w:tr w:rsidR="00561EEF" w:rsidTr="00C4493E">
        <w:tc>
          <w:tcPr>
            <w:cnfStyle w:val="001000000000"/>
            <w:tcW w:w="2178" w:type="dxa"/>
          </w:tcPr>
          <w:p w:rsidR="00561EEF" w:rsidRDefault="00561EEF" w:rsidP="00C4493E">
            <w:r>
              <w:t>Objectives:</w:t>
            </w:r>
          </w:p>
        </w:tc>
        <w:tc>
          <w:tcPr>
            <w:tcW w:w="7398" w:type="dxa"/>
          </w:tcPr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ways to receive an item</w:t>
            </w:r>
          </w:p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search for Purchase Orders to receive</w:t>
            </w:r>
          </w:p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different Receipt Header statuses</w:t>
            </w:r>
          </w:p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create a receipt</w:t>
            </w:r>
          </w:p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create a receipt for an asset</w:t>
            </w:r>
          </w:p>
          <w:p w:rsidR="00561EEF" w:rsidRDefault="00561EEF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required fields for an asset receipt</w:t>
            </w:r>
          </w:p>
        </w:tc>
      </w:tr>
    </w:tbl>
    <w:p w:rsidR="00561EEF" w:rsidRDefault="00561EEF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10300C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10300C" w:rsidRDefault="0010300C" w:rsidP="0010300C">
            <w:r>
              <w:t>EPMP24_Using the Requisition Reconciliation Workbench</w:t>
            </w:r>
          </w:p>
        </w:tc>
      </w:tr>
      <w:tr w:rsidR="0010300C" w:rsidTr="00C4493E">
        <w:trPr>
          <w:cnfStyle w:val="000000100000"/>
        </w:trPr>
        <w:tc>
          <w:tcPr>
            <w:cnfStyle w:val="001000000000"/>
            <w:tcW w:w="2178" w:type="dxa"/>
          </w:tcPr>
          <w:p w:rsidR="0010300C" w:rsidRDefault="0010300C" w:rsidP="00C4493E">
            <w:r>
              <w:t>Approximate Time:</w:t>
            </w:r>
          </w:p>
        </w:tc>
        <w:tc>
          <w:tcPr>
            <w:tcW w:w="7398" w:type="dxa"/>
          </w:tcPr>
          <w:p w:rsidR="0010300C" w:rsidRDefault="0010300C" w:rsidP="00C4493E">
            <w:pPr>
              <w:cnfStyle w:val="000000100000"/>
            </w:pPr>
            <w:r>
              <w:t>16 minutes</w:t>
            </w:r>
          </w:p>
        </w:tc>
      </w:tr>
      <w:tr w:rsidR="0010300C" w:rsidTr="00C4493E">
        <w:tc>
          <w:tcPr>
            <w:cnfStyle w:val="001000000000"/>
            <w:tcW w:w="2178" w:type="dxa"/>
          </w:tcPr>
          <w:p w:rsidR="0010300C" w:rsidRDefault="0010300C" w:rsidP="00C4493E">
            <w:r>
              <w:t>Objectives:</w:t>
            </w:r>
          </w:p>
        </w:tc>
        <w:tc>
          <w:tcPr>
            <w:tcW w:w="7398" w:type="dxa"/>
          </w:tcPr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can be done through the Requisition Reconciliation Workbench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different search criteria available on the Requisition Reconciliation Workbench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save search criteria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determine if a Requisition is unqualified for a selected action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the “approve” action on the Requisition Reconciliation Workbench accomplishes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use the Requisition Reconciliation Workbench to approve open requisitions</w:t>
            </w:r>
          </w:p>
          <w:p w:rsidR="0010300C" w:rsidRDefault="0010300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use the Requisition Reconciliation Workbench to cancel requisitions</w:t>
            </w:r>
          </w:p>
        </w:tc>
      </w:tr>
    </w:tbl>
    <w:p w:rsidR="0010300C" w:rsidRDefault="0010300C" w:rsidP="00F70719"/>
    <w:p w:rsidR="00543359" w:rsidRDefault="00543359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1855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1855" w:rsidRDefault="00331855" w:rsidP="00331855">
            <w:r>
              <w:lastRenderedPageBreak/>
              <w:t>EPMP25_Closing Requisitions</w:t>
            </w:r>
          </w:p>
        </w:tc>
      </w:tr>
      <w:tr w:rsidR="00331855" w:rsidTr="00C4493E">
        <w:trPr>
          <w:cnfStyle w:val="000000100000"/>
        </w:trPr>
        <w:tc>
          <w:tcPr>
            <w:cnfStyle w:val="001000000000"/>
            <w:tcW w:w="2178" w:type="dxa"/>
          </w:tcPr>
          <w:p w:rsidR="00331855" w:rsidRDefault="00331855" w:rsidP="00C4493E">
            <w:r>
              <w:t>Approximate Time:</w:t>
            </w:r>
          </w:p>
        </w:tc>
        <w:tc>
          <w:tcPr>
            <w:tcW w:w="7398" w:type="dxa"/>
          </w:tcPr>
          <w:p w:rsidR="00331855" w:rsidRDefault="00331855" w:rsidP="00331855">
            <w:pPr>
              <w:cnfStyle w:val="000000100000"/>
            </w:pPr>
            <w:r>
              <w:t>15 minutes</w:t>
            </w:r>
          </w:p>
        </w:tc>
      </w:tr>
      <w:tr w:rsidR="00331855" w:rsidTr="00C4493E">
        <w:tc>
          <w:tcPr>
            <w:cnfStyle w:val="001000000000"/>
            <w:tcW w:w="2178" w:type="dxa"/>
          </w:tcPr>
          <w:p w:rsidR="00331855" w:rsidRDefault="00331855" w:rsidP="00C4493E">
            <w:r>
              <w:t>Objectives:</w:t>
            </w:r>
          </w:p>
        </w:tc>
        <w:tc>
          <w:tcPr>
            <w:tcW w:w="7398" w:type="dxa"/>
          </w:tcPr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closing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when a requisition can be closed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a requisition can be closed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benefits of closing requisitions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benefit of using the Requisition Reconciliation Workbench to close requisitions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use the Requisition Reconciliation Workbench to close requisitions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run the Close Requisitions batch job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run the Requisition Reconciliation Report</w:t>
            </w:r>
          </w:p>
          <w:p w:rsidR="00331855" w:rsidRDefault="00331855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liquidates any remaining pre-encumbrances from a closed requisition</w:t>
            </w:r>
          </w:p>
        </w:tc>
      </w:tr>
    </w:tbl>
    <w:p w:rsidR="00331855" w:rsidRDefault="00331855" w:rsidP="00F70719"/>
    <w:sectPr w:rsidR="00331855" w:rsidSect="00952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E1" w:rsidRDefault="005958E1" w:rsidP="00F646DD">
      <w:pPr>
        <w:spacing w:after="0" w:line="240" w:lineRule="auto"/>
      </w:pPr>
      <w:r>
        <w:separator/>
      </w:r>
    </w:p>
  </w:endnote>
  <w:endnote w:type="continuationSeparator" w:id="0">
    <w:p w:rsidR="005958E1" w:rsidRDefault="005958E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9" w:rsidRDefault="004B2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4B2749">
          <w:pPr>
            <w:pStyle w:val="Footer"/>
          </w:pPr>
          <w:r>
            <w:t xml:space="preserve">Suggested Online Lessons for </w:t>
          </w:r>
          <w:r w:rsidR="004B2749">
            <w:t>Buyer</w:t>
          </w:r>
          <w:r w:rsidR="000539D6">
            <w:t>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CC4CC7" w:rsidP="009523F8">
    <w:pPr>
      <w:pStyle w:val="Footer"/>
      <w:jc w:val="center"/>
    </w:pPr>
    <w:fldSimple w:instr=" PAGE   \* MERGEFORMAT ">
      <w:r w:rsidR="00543359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9" w:rsidRDefault="004B2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E1" w:rsidRDefault="005958E1" w:rsidP="00F646DD">
      <w:pPr>
        <w:spacing w:after="0" w:line="240" w:lineRule="auto"/>
      </w:pPr>
      <w:r>
        <w:separator/>
      </w:r>
    </w:p>
  </w:footnote>
  <w:footnote w:type="continuationSeparator" w:id="0">
    <w:p w:rsidR="005958E1" w:rsidRDefault="005958E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9" w:rsidRDefault="004B2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9" w:rsidRDefault="004B2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84686"/>
    <w:rsid w:val="000E7027"/>
    <w:rsid w:val="000E73AF"/>
    <w:rsid w:val="0010300C"/>
    <w:rsid w:val="00120A3A"/>
    <w:rsid w:val="00142122"/>
    <w:rsid w:val="001948D1"/>
    <w:rsid w:val="001B7086"/>
    <w:rsid w:val="001C4BDD"/>
    <w:rsid w:val="001D5FD8"/>
    <w:rsid w:val="001F1C61"/>
    <w:rsid w:val="00207A2D"/>
    <w:rsid w:val="002429A3"/>
    <w:rsid w:val="00275DC5"/>
    <w:rsid w:val="002C2D20"/>
    <w:rsid w:val="002D29B6"/>
    <w:rsid w:val="00331855"/>
    <w:rsid w:val="0033702E"/>
    <w:rsid w:val="00344A34"/>
    <w:rsid w:val="003703C0"/>
    <w:rsid w:val="003E7805"/>
    <w:rsid w:val="003F756B"/>
    <w:rsid w:val="003F7CB4"/>
    <w:rsid w:val="00402ECE"/>
    <w:rsid w:val="00420F80"/>
    <w:rsid w:val="00430ABD"/>
    <w:rsid w:val="00432CF6"/>
    <w:rsid w:val="00450861"/>
    <w:rsid w:val="00453F1A"/>
    <w:rsid w:val="00467EA9"/>
    <w:rsid w:val="00495905"/>
    <w:rsid w:val="00496D9C"/>
    <w:rsid w:val="004B2749"/>
    <w:rsid w:val="004C1653"/>
    <w:rsid w:val="004F07E8"/>
    <w:rsid w:val="00505892"/>
    <w:rsid w:val="005075B7"/>
    <w:rsid w:val="00543359"/>
    <w:rsid w:val="00550FA9"/>
    <w:rsid w:val="00561EEF"/>
    <w:rsid w:val="00573DB8"/>
    <w:rsid w:val="005958E1"/>
    <w:rsid w:val="005B124B"/>
    <w:rsid w:val="005F7939"/>
    <w:rsid w:val="00624670"/>
    <w:rsid w:val="0066079D"/>
    <w:rsid w:val="006A1904"/>
    <w:rsid w:val="00730700"/>
    <w:rsid w:val="00760692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24210"/>
    <w:rsid w:val="00947113"/>
    <w:rsid w:val="009523F8"/>
    <w:rsid w:val="009C6A8C"/>
    <w:rsid w:val="009E5849"/>
    <w:rsid w:val="00A046C6"/>
    <w:rsid w:val="00A517AE"/>
    <w:rsid w:val="00AB6653"/>
    <w:rsid w:val="00B057AD"/>
    <w:rsid w:val="00B1243D"/>
    <w:rsid w:val="00B26D6C"/>
    <w:rsid w:val="00B40C54"/>
    <w:rsid w:val="00B57AA8"/>
    <w:rsid w:val="00B7160B"/>
    <w:rsid w:val="00BC1F7E"/>
    <w:rsid w:val="00BD37AE"/>
    <w:rsid w:val="00BD455E"/>
    <w:rsid w:val="00BE6202"/>
    <w:rsid w:val="00C1498C"/>
    <w:rsid w:val="00C2542F"/>
    <w:rsid w:val="00C60594"/>
    <w:rsid w:val="00C60EC3"/>
    <w:rsid w:val="00C71773"/>
    <w:rsid w:val="00C71D3C"/>
    <w:rsid w:val="00CC4CC7"/>
    <w:rsid w:val="00CE61FC"/>
    <w:rsid w:val="00CF6AF4"/>
    <w:rsid w:val="00D96A72"/>
    <w:rsid w:val="00DD7CBE"/>
    <w:rsid w:val="00E5171D"/>
    <w:rsid w:val="00E8431B"/>
    <w:rsid w:val="00E862CD"/>
    <w:rsid w:val="00E92EB5"/>
    <w:rsid w:val="00F24908"/>
    <w:rsid w:val="00F30A78"/>
    <w:rsid w:val="00F316CE"/>
    <w:rsid w:val="00F31848"/>
    <w:rsid w:val="00F646DD"/>
    <w:rsid w:val="00F70719"/>
    <w:rsid w:val="00F8189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9</cp:revision>
  <dcterms:created xsi:type="dcterms:W3CDTF">2011-02-08T17:42:00Z</dcterms:created>
  <dcterms:modified xsi:type="dcterms:W3CDTF">2011-02-08T20:23:00Z</dcterms:modified>
</cp:coreProperties>
</file>