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A978ED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Online Lessons for AP Users</w:t>
      </w:r>
    </w:p>
    <w:p w:rsidR="00F70719" w:rsidRDefault="009E5849">
      <w:r>
        <w:t xml:space="preserve">The lessons below are suggested for </w:t>
      </w:r>
      <w:r w:rsidR="00A978ED">
        <w:t xml:space="preserve">AP users affected by the implementation of the </w:t>
      </w:r>
      <w:r>
        <w:t>Georgia</w:t>
      </w:r>
      <w:r w:rsidR="004B03AA" w:rsidRPr="004B03AA">
        <w:rPr>
          <w:i/>
        </w:rPr>
        <w:t>FIRST</w:t>
      </w:r>
      <w:r>
        <w:t xml:space="preserve"> Marketplace. Depending on your actual responsibilities, you may not need to review every lesson. </w:t>
      </w:r>
      <w:r w:rsidR="00F70719">
        <w:t>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A978ED">
            <w:pPr>
              <w:cnfStyle w:val="100000000000"/>
            </w:pPr>
            <w:r>
              <w:t xml:space="preserve">Online Lessons for </w:t>
            </w:r>
            <w:r w:rsidR="00A978ED">
              <w:t>AP Users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4B03AA" w:rsidRPr="004B03AA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A978ED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A978ED" w:rsidRPr="00F70719" w:rsidRDefault="00A978ED" w:rsidP="005B124B"/>
        </w:tc>
        <w:tc>
          <w:tcPr>
            <w:tcW w:w="8208" w:type="dxa"/>
            <w:vAlign w:val="center"/>
          </w:tcPr>
          <w:p w:rsidR="00A978ED" w:rsidRPr="00F70719" w:rsidRDefault="00A978ED" w:rsidP="005B124B">
            <w:pPr>
              <w:cnfStyle w:val="000000000000"/>
            </w:pPr>
            <w:r>
              <w:t>EPMP19_Procure-to-Pay Process Flow</w:t>
            </w:r>
          </w:p>
        </w:tc>
      </w:tr>
      <w:tr w:rsidR="00A978ED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A978ED" w:rsidRPr="00F70719" w:rsidRDefault="00A978ED" w:rsidP="005B124B"/>
        </w:tc>
        <w:tc>
          <w:tcPr>
            <w:tcW w:w="8208" w:type="dxa"/>
            <w:vAlign w:val="center"/>
          </w:tcPr>
          <w:p w:rsidR="00A978ED" w:rsidRDefault="00A978ED" w:rsidP="005B124B">
            <w:pPr>
              <w:cnfStyle w:val="000000100000"/>
            </w:pPr>
            <w:r>
              <w:t>EPMP26_Using Voucher Build for Marketplace E-Invoices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30A7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0A78" w:rsidRDefault="00F30A78" w:rsidP="00F30A78">
            <w:r>
              <w:t xml:space="preserve">EPMP19_Procure-to-Pay Process Flow </w:t>
            </w:r>
          </w:p>
        </w:tc>
      </w:tr>
      <w:tr w:rsidR="00F30A78" w:rsidTr="00363E29">
        <w:trPr>
          <w:cnfStyle w:val="000000100000"/>
        </w:trPr>
        <w:tc>
          <w:tcPr>
            <w:cnfStyle w:val="001000000000"/>
            <w:tcW w:w="2178" w:type="dxa"/>
          </w:tcPr>
          <w:p w:rsidR="00F30A78" w:rsidRDefault="00F30A78" w:rsidP="00363E29">
            <w:r>
              <w:t>Approximate Time:</w:t>
            </w:r>
          </w:p>
        </w:tc>
        <w:tc>
          <w:tcPr>
            <w:tcW w:w="7398" w:type="dxa"/>
          </w:tcPr>
          <w:p w:rsidR="00F30A78" w:rsidRDefault="00F30A78" w:rsidP="00363E29">
            <w:pPr>
              <w:cnfStyle w:val="000000100000"/>
            </w:pPr>
            <w:r>
              <w:t>7 minutes</w:t>
            </w:r>
          </w:p>
        </w:tc>
      </w:tr>
      <w:tr w:rsidR="00F30A78" w:rsidTr="00363E29">
        <w:tc>
          <w:tcPr>
            <w:cnfStyle w:val="001000000000"/>
            <w:tcW w:w="2178" w:type="dxa"/>
          </w:tcPr>
          <w:p w:rsidR="00F30A78" w:rsidRDefault="00F30A78" w:rsidP="00363E29">
            <w:r>
              <w:t>Objective:</w:t>
            </w:r>
          </w:p>
        </w:tc>
        <w:tc>
          <w:tcPr>
            <w:tcW w:w="7398" w:type="dxa"/>
          </w:tcPr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steps involved in the Procure-to-Pay Process Flow</w:t>
            </w:r>
          </w:p>
        </w:tc>
      </w:tr>
    </w:tbl>
    <w:p w:rsidR="00F30A78" w:rsidRDefault="00F30A78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C71773" w:rsidTr="00C4493E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C71773" w:rsidRDefault="00C71773" w:rsidP="00C71773">
            <w:r>
              <w:t>EPMP26_Using Voucher Build for Marketplace E-Invoices</w:t>
            </w:r>
          </w:p>
        </w:tc>
      </w:tr>
      <w:tr w:rsidR="00C71773" w:rsidTr="00C4493E">
        <w:trPr>
          <w:cnfStyle w:val="000000100000"/>
        </w:trPr>
        <w:tc>
          <w:tcPr>
            <w:cnfStyle w:val="001000000000"/>
            <w:tcW w:w="2178" w:type="dxa"/>
          </w:tcPr>
          <w:p w:rsidR="00C71773" w:rsidRDefault="00C71773" w:rsidP="00C4493E">
            <w:r>
              <w:t>Approximate Time:</w:t>
            </w:r>
          </w:p>
        </w:tc>
        <w:tc>
          <w:tcPr>
            <w:tcW w:w="7398" w:type="dxa"/>
          </w:tcPr>
          <w:p w:rsidR="00C71773" w:rsidRDefault="00C71773" w:rsidP="00C71773">
            <w:pPr>
              <w:cnfStyle w:val="000000100000"/>
            </w:pPr>
            <w:r>
              <w:t>12 minutes</w:t>
            </w:r>
          </w:p>
        </w:tc>
      </w:tr>
      <w:tr w:rsidR="00C71773" w:rsidTr="00C4493E">
        <w:tc>
          <w:tcPr>
            <w:cnfStyle w:val="001000000000"/>
            <w:tcW w:w="2178" w:type="dxa"/>
          </w:tcPr>
          <w:p w:rsidR="00C71773" w:rsidRDefault="00C71773" w:rsidP="00C4493E">
            <w:r>
              <w:t>Objectives:</w:t>
            </w:r>
          </w:p>
        </w:tc>
        <w:tc>
          <w:tcPr>
            <w:tcW w:w="7398" w:type="dxa"/>
          </w:tcPr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select Georgia</w:t>
            </w:r>
            <w:r w:rsidR="004B03AA" w:rsidRPr="004B03AA">
              <w:rPr>
                <w:i/>
              </w:rPr>
              <w:t>FIRST</w:t>
            </w:r>
            <w:r>
              <w:t xml:space="preserve"> Marketplace vendors sent invoices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vouchers are created from E-Invoices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batch job that populates the staging tables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the two sub-processes that make up the Voucher Build process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run voucher build for E-Invoices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types of errors that can occur from the voucher build process</w:t>
            </w:r>
          </w:p>
          <w:p w:rsidR="00C71773" w:rsidRDefault="00C71773" w:rsidP="00C4493E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review and correct voucher build errors</w:t>
            </w:r>
          </w:p>
        </w:tc>
      </w:tr>
    </w:tbl>
    <w:p w:rsidR="00C1498C" w:rsidRDefault="00C1498C" w:rsidP="00A978ED"/>
    <w:sectPr w:rsidR="00C1498C" w:rsidSect="009523F8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71" w:rsidRDefault="00470F71" w:rsidP="00F646DD">
      <w:pPr>
        <w:spacing w:after="0" w:line="240" w:lineRule="auto"/>
      </w:pPr>
      <w:r>
        <w:separator/>
      </w:r>
    </w:p>
  </w:endnote>
  <w:endnote w:type="continuationSeparator" w:id="0">
    <w:p w:rsidR="00470F71" w:rsidRDefault="00470F7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A978ED">
          <w:pPr>
            <w:pStyle w:val="Footer"/>
          </w:pPr>
          <w:r>
            <w:t xml:space="preserve">Suggested Online Lessons for </w:t>
          </w:r>
          <w:r w:rsidR="00A978ED">
            <w:t>AP Users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D167AA" w:rsidP="009523F8">
    <w:pPr>
      <w:pStyle w:val="Footer"/>
      <w:jc w:val="center"/>
    </w:pPr>
    <w:fldSimple w:instr=" PAGE   \* MERGEFORMAT ">
      <w:r w:rsidR="004B03A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71" w:rsidRDefault="00470F71" w:rsidP="00F646DD">
      <w:pPr>
        <w:spacing w:after="0" w:line="240" w:lineRule="auto"/>
      </w:pPr>
      <w:r>
        <w:separator/>
      </w:r>
    </w:p>
  </w:footnote>
  <w:footnote w:type="continuationSeparator" w:id="0">
    <w:p w:rsidR="00470F71" w:rsidRDefault="00470F7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84686"/>
    <w:rsid w:val="000E7027"/>
    <w:rsid w:val="000E73AF"/>
    <w:rsid w:val="0010300C"/>
    <w:rsid w:val="00120A3A"/>
    <w:rsid w:val="00142122"/>
    <w:rsid w:val="001B7086"/>
    <w:rsid w:val="001C4BDD"/>
    <w:rsid w:val="001D5FD8"/>
    <w:rsid w:val="001F1C61"/>
    <w:rsid w:val="00207A2D"/>
    <w:rsid w:val="002429A3"/>
    <w:rsid w:val="002C2D20"/>
    <w:rsid w:val="002D29B6"/>
    <w:rsid w:val="00331855"/>
    <w:rsid w:val="0033702E"/>
    <w:rsid w:val="00344A34"/>
    <w:rsid w:val="0035452E"/>
    <w:rsid w:val="003703C0"/>
    <w:rsid w:val="003E7805"/>
    <w:rsid w:val="003F756B"/>
    <w:rsid w:val="003F7CB4"/>
    <w:rsid w:val="00402ECE"/>
    <w:rsid w:val="00420F80"/>
    <w:rsid w:val="00430ABD"/>
    <w:rsid w:val="00432CF6"/>
    <w:rsid w:val="00450861"/>
    <w:rsid w:val="00453F1A"/>
    <w:rsid w:val="00467EA9"/>
    <w:rsid w:val="00470F71"/>
    <w:rsid w:val="00495905"/>
    <w:rsid w:val="00496D9C"/>
    <w:rsid w:val="004B03AA"/>
    <w:rsid w:val="004B2749"/>
    <w:rsid w:val="004C1653"/>
    <w:rsid w:val="004F07E8"/>
    <w:rsid w:val="00505892"/>
    <w:rsid w:val="005075B7"/>
    <w:rsid w:val="00550FA9"/>
    <w:rsid w:val="00561EEF"/>
    <w:rsid w:val="00573DB8"/>
    <w:rsid w:val="005B124B"/>
    <w:rsid w:val="005F7939"/>
    <w:rsid w:val="00624670"/>
    <w:rsid w:val="0066079D"/>
    <w:rsid w:val="006A1904"/>
    <w:rsid w:val="00730700"/>
    <w:rsid w:val="00760692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24210"/>
    <w:rsid w:val="00947113"/>
    <w:rsid w:val="009523F8"/>
    <w:rsid w:val="00952CA4"/>
    <w:rsid w:val="009C6A8C"/>
    <w:rsid w:val="009E5849"/>
    <w:rsid w:val="00A046C6"/>
    <w:rsid w:val="00A978ED"/>
    <w:rsid w:val="00B057AD"/>
    <w:rsid w:val="00B1243D"/>
    <w:rsid w:val="00B26D6C"/>
    <w:rsid w:val="00B40C54"/>
    <w:rsid w:val="00B57AA8"/>
    <w:rsid w:val="00B7160B"/>
    <w:rsid w:val="00BC1F7E"/>
    <w:rsid w:val="00BD37AE"/>
    <w:rsid w:val="00BD455E"/>
    <w:rsid w:val="00BE6202"/>
    <w:rsid w:val="00C1498C"/>
    <w:rsid w:val="00C2542F"/>
    <w:rsid w:val="00C60594"/>
    <w:rsid w:val="00C60EC3"/>
    <w:rsid w:val="00C71773"/>
    <w:rsid w:val="00C71D3C"/>
    <w:rsid w:val="00CE61FC"/>
    <w:rsid w:val="00CF6AF4"/>
    <w:rsid w:val="00D167AA"/>
    <w:rsid w:val="00D96A72"/>
    <w:rsid w:val="00E5171D"/>
    <w:rsid w:val="00E8431B"/>
    <w:rsid w:val="00E862CD"/>
    <w:rsid w:val="00E92EB5"/>
    <w:rsid w:val="00F24908"/>
    <w:rsid w:val="00F30A78"/>
    <w:rsid w:val="00F316CE"/>
    <w:rsid w:val="00F31848"/>
    <w:rsid w:val="00F4410A"/>
    <w:rsid w:val="00F646DD"/>
    <w:rsid w:val="00F70719"/>
    <w:rsid w:val="00F8189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4</cp:revision>
  <dcterms:created xsi:type="dcterms:W3CDTF">2011-02-08T17:43:00Z</dcterms:created>
  <dcterms:modified xsi:type="dcterms:W3CDTF">2011-02-08T20:26:00Z</dcterms:modified>
</cp:coreProperties>
</file>